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3331" w14:textId="6A39E7B8" w:rsidR="00EB2AE4" w:rsidRPr="00B37B38" w:rsidRDefault="3FA742B0" w:rsidP="00B37B38">
      <w:pPr>
        <w:jc w:val="center"/>
        <w:rPr>
          <w:rFonts w:eastAsiaTheme="minorEastAsia"/>
          <w:sz w:val="28"/>
          <w:szCs w:val="28"/>
        </w:rPr>
      </w:pPr>
      <w:r w:rsidRPr="071F5B88">
        <w:rPr>
          <w:rFonts w:asciiTheme="majorHAnsi" w:hAnsiTheme="majorHAnsi" w:cstheme="majorBidi"/>
          <w:sz w:val="40"/>
          <w:szCs w:val="40"/>
        </w:rPr>
        <w:t>Competencies</w:t>
      </w:r>
      <w:r w:rsidR="00B37B38">
        <w:rPr>
          <w:rFonts w:asciiTheme="majorHAnsi" w:hAnsiTheme="majorHAnsi" w:cstheme="majorBidi"/>
          <w:sz w:val="40"/>
          <w:szCs w:val="40"/>
        </w:rPr>
        <w:t xml:space="preserve"> Assessed on the Analyst and Diplomate Certification Examinations</w:t>
      </w:r>
    </w:p>
    <w:p w14:paraId="2556E2DF" w14:textId="36557489" w:rsidR="071F5B88" w:rsidRDefault="071F5B88" w:rsidP="071F5B88">
      <w:pPr>
        <w:spacing w:line="259" w:lineRule="auto"/>
        <w:jc w:val="center"/>
        <w:rPr>
          <w:rFonts w:asciiTheme="majorHAnsi" w:hAnsiTheme="majorHAnsi" w:cstheme="majorBidi"/>
          <w:sz w:val="20"/>
          <w:szCs w:val="20"/>
        </w:rPr>
      </w:pPr>
    </w:p>
    <w:tbl>
      <w:tblPr>
        <w:tblW w:w="13785" w:type="dxa"/>
        <w:tblLayout w:type="fixed"/>
        <w:tblLook w:val="0600" w:firstRow="0" w:lastRow="0" w:firstColumn="0" w:lastColumn="0" w:noHBand="1" w:noVBand="1"/>
      </w:tblPr>
      <w:tblGrid>
        <w:gridCol w:w="2145"/>
        <w:gridCol w:w="5625"/>
        <w:gridCol w:w="6015"/>
      </w:tblGrid>
      <w:tr w:rsidR="527CE84D" w14:paraId="411751F4" w14:textId="77777777" w:rsidTr="071F5B88">
        <w:trPr>
          <w:trHeight w:val="420"/>
        </w:trPr>
        <w:tc>
          <w:tcPr>
            <w:tcW w:w="21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760283" w14:textId="1E79AF82" w:rsidR="527CE84D" w:rsidRDefault="527CE84D" w:rsidP="071F5B88">
            <w:pPr>
              <w:rPr>
                <w:rFonts w:eastAsiaTheme="minorEastAsia"/>
                <w:sz w:val="20"/>
                <w:szCs w:val="20"/>
                <w:lang w:val="en"/>
              </w:rPr>
            </w:pPr>
          </w:p>
        </w:tc>
        <w:tc>
          <w:tcPr>
            <w:tcW w:w="116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Mar>
              <w:top w:w="100" w:type="dxa"/>
              <w:left w:w="100" w:type="dxa"/>
              <w:bottom w:w="100" w:type="dxa"/>
              <w:right w:w="100" w:type="dxa"/>
            </w:tcMar>
          </w:tcPr>
          <w:p w14:paraId="1187D5A9" w14:textId="31A4C72B" w:rsidR="527CE84D" w:rsidRDefault="527CE84D" w:rsidP="071F5B88">
            <w:pPr>
              <w:jc w:val="center"/>
              <w:rPr>
                <w:rFonts w:eastAsiaTheme="minorEastAsia"/>
                <w:b/>
                <w:bCs/>
                <w:color w:val="000000" w:themeColor="text1"/>
                <w:sz w:val="28"/>
                <w:szCs w:val="28"/>
                <w:lang w:val="en"/>
              </w:rPr>
            </w:pPr>
            <w:r w:rsidRPr="071F5B88">
              <w:rPr>
                <w:rFonts w:eastAsiaTheme="minorEastAsia"/>
                <w:b/>
                <w:bCs/>
                <w:color w:val="000000" w:themeColor="text1"/>
                <w:sz w:val="28"/>
                <w:szCs w:val="28"/>
                <w:lang w:val="en"/>
              </w:rPr>
              <w:t>Knowledge, Skills, and Abilities</w:t>
            </w:r>
          </w:p>
        </w:tc>
      </w:tr>
      <w:tr w:rsidR="527CE84D" w14:paraId="7464C505" w14:textId="77777777" w:rsidTr="071F5B88">
        <w:trPr>
          <w:trHeight w:val="30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Mar>
              <w:top w:w="100" w:type="dxa"/>
              <w:left w:w="100" w:type="dxa"/>
              <w:bottom w:w="100" w:type="dxa"/>
              <w:right w:w="100" w:type="dxa"/>
            </w:tcMar>
          </w:tcPr>
          <w:p w14:paraId="2B4F2BB6" w14:textId="4F32CB85" w:rsidR="527CE84D" w:rsidRDefault="527CE84D" w:rsidP="071F5B88">
            <w:pPr>
              <w:rPr>
                <w:rFonts w:eastAsiaTheme="minorEastAsia"/>
                <w:b/>
                <w:bCs/>
                <w:color w:val="000000" w:themeColor="text1"/>
                <w:lang w:val="en"/>
              </w:rPr>
            </w:pPr>
            <w:r w:rsidRPr="071F5B88">
              <w:rPr>
                <w:rFonts w:eastAsiaTheme="minorEastAsia"/>
                <w:b/>
                <w:bCs/>
                <w:color w:val="000000" w:themeColor="text1"/>
                <w:lang w:val="en"/>
              </w:rPr>
              <w:t>Competency Area</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384091E" w14:textId="33E45DF0" w:rsidR="527CE84D" w:rsidRDefault="527CE84D" w:rsidP="071F5B88">
            <w:pPr>
              <w:jc w:val="center"/>
              <w:rPr>
                <w:rFonts w:eastAsiaTheme="minorEastAsia"/>
                <w:b/>
                <w:bCs/>
                <w:color w:val="000000" w:themeColor="text1"/>
                <w:lang w:val="en"/>
              </w:rPr>
            </w:pPr>
            <w:r w:rsidRPr="071F5B88">
              <w:rPr>
                <w:rFonts w:eastAsiaTheme="minorEastAsia"/>
                <w:b/>
                <w:bCs/>
                <w:color w:val="000000" w:themeColor="text1"/>
                <w:lang w:val="en"/>
              </w:rPr>
              <w:t>Analyst</w:t>
            </w:r>
          </w:p>
        </w:tc>
        <w:tc>
          <w:tcPr>
            <w:tcW w:w="601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ED135DA" w14:textId="0E267B37" w:rsidR="527CE84D" w:rsidRDefault="527CE84D" w:rsidP="071F5B88">
            <w:pPr>
              <w:jc w:val="center"/>
              <w:rPr>
                <w:rFonts w:eastAsiaTheme="minorEastAsia"/>
                <w:b/>
                <w:bCs/>
                <w:color w:val="000000" w:themeColor="text1"/>
                <w:lang w:val="en"/>
              </w:rPr>
            </w:pPr>
            <w:r w:rsidRPr="071F5B88">
              <w:rPr>
                <w:rFonts w:eastAsiaTheme="minorEastAsia"/>
                <w:b/>
                <w:bCs/>
                <w:color w:val="000000" w:themeColor="text1"/>
                <w:lang w:val="en"/>
              </w:rPr>
              <w:t>Diplomate</w:t>
            </w:r>
          </w:p>
        </w:tc>
      </w:tr>
      <w:tr w:rsidR="527CE84D" w14:paraId="5E8D22D8" w14:textId="77777777" w:rsidTr="071F5B88">
        <w:trPr>
          <w:trHeight w:val="30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24A873" w14:textId="147051CE" w:rsidR="527CE84D" w:rsidRDefault="527CE84D" w:rsidP="071F5B88">
            <w:pPr>
              <w:spacing w:after="40"/>
              <w:rPr>
                <w:rFonts w:eastAsiaTheme="minorEastAsia"/>
                <w:sz w:val="20"/>
                <w:szCs w:val="20"/>
                <w:lang w:val="en"/>
              </w:rPr>
            </w:pPr>
            <w:r w:rsidRPr="071F5B88">
              <w:rPr>
                <w:rFonts w:eastAsiaTheme="minorEastAsia"/>
                <w:sz w:val="20"/>
                <w:szCs w:val="20"/>
                <w:lang w:val="en"/>
              </w:rPr>
              <w:t>Anatomy (gross anatomy, human osteology, comparative osteology, skeletal biology, histology)</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D0707D" w14:textId="782BCF3C"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Differentiate between osseous and non-osseous material </w:t>
            </w:r>
          </w:p>
          <w:p w14:paraId="0FFD9226" w14:textId="262390E7" w:rsidR="527CE84D" w:rsidRDefault="527CE84D" w:rsidP="071F5B88">
            <w:pPr>
              <w:spacing w:after="120"/>
              <w:rPr>
                <w:rFonts w:eastAsiaTheme="minorEastAsia"/>
                <w:sz w:val="20"/>
                <w:szCs w:val="20"/>
                <w:lang w:val="en"/>
              </w:rPr>
            </w:pPr>
            <w:r w:rsidRPr="071F5B88">
              <w:rPr>
                <w:rFonts w:eastAsiaTheme="minorEastAsia"/>
                <w:sz w:val="20"/>
                <w:szCs w:val="20"/>
                <w:lang w:val="en"/>
              </w:rPr>
              <w:t>Know bone composition and basic biomechanical properties of bone</w:t>
            </w:r>
          </w:p>
          <w:p w14:paraId="02C961C1" w14:textId="013F7C75" w:rsidR="527CE84D" w:rsidRDefault="527CE84D" w:rsidP="071F5B88">
            <w:pPr>
              <w:spacing w:after="120"/>
              <w:rPr>
                <w:rFonts w:eastAsiaTheme="minorEastAsia"/>
                <w:sz w:val="20"/>
                <w:szCs w:val="20"/>
                <w:lang w:val="en"/>
              </w:rPr>
            </w:pPr>
            <w:r w:rsidRPr="071F5B88">
              <w:rPr>
                <w:rFonts w:eastAsiaTheme="minorEastAsia"/>
                <w:sz w:val="20"/>
                <w:szCs w:val="20"/>
                <w:lang w:val="en"/>
              </w:rPr>
              <w:t>Identify and side elements and teeth (complete and fragmentary, fetal through adult age)</w:t>
            </w:r>
          </w:p>
          <w:p w14:paraId="1F1BFF7A" w14:textId="2F427D24"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List differences among and be able to interpret tooth numbering systems </w:t>
            </w:r>
          </w:p>
          <w:p w14:paraId="0507289D" w14:textId="4943EE69"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Be familiar with landmark definitions and identify locations (landmarks, muscle attachments, protuberances, etc.) </w:t>
            </w:r>
          </w:p>
          <w:p w14:paraId="2F7C50CC" w14:textId="4BB3DD45"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Collect osteometric data (take measurements) </w:t>
            </w:r>
          </w:p>
          <w:p w14:paraId="4E0FAB74" w14:textId="244730DA"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Differentiate human and nonhuman remains (complete and fragmentary) </w:t>
            </w:r>
          </w:p>
          <w:p w14:paraId="1CEECC16" w14:textId="4968512E"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Describe skeletal growth and development (endochondral vs. intramembranous, epiphyseal union, dental </w:t>
            </w:r>
            <w:r w:rsidR="006D4AC7" w:rsidRPr="071F5B88">
              <w:rPr>
                <w:rFonts w:eastAsiaTheme="minorEastAsia"/>
                <w:sz w:val="20"/>
                <w:szCs w:val="20"/>
                <w:lang w:val="en"/>
              </w:rPr>
              <w:t>development</w:t>
            </w:r>
            <w:r w:rsidR="006D4AC7">
              <w:rPr>
                <w:rFonts w:eastAsiaTheme="minorEastAsia"/>
                <w:sz w:val="20"/>
                <w:szCs w:val="20"/>
                <w:lang w:val="en"/>
              </w:rPr>
              <w:t xml:space="preserve"> </w:t>
            </w:r>
            <w:r w:rsidRPr="071F5B88">
              <w:rPr>
                <w:rFonts w:eastAsiaTheme="minorEastAsia"/>
                <w:sz w:val="20"/>
                <w:szCs w:val="20"/>
                <w:lang w:val="en"/>
              </w:rPr>
              <w:t>and eruption)</w:t>
            </w:r>
          </w:p>
          <w:p w14:paraId="4C9115E2" w14:textId="31BCA5E0"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Recognize histological features in bone </w:t>
            </w:r>
          </w:p>
          <w:p w14:paraId="57CB5483" w14:textId="4853C045" w:rsidR="527CE84D" w:rsidRDefault="527CE84D" w:rsidP="071F5B88">
            <w:pPr>
              <w:spacing w:after="120"/>
              <w:rPr>
                <w:rFonts w:eastAsiaTheme="minorEastAsia"/>
                <w:sz w:val="20"/>
                <w:szCs w:val="20"/>
                <w:lang w:val="en"/>
              </w:rPr>
            </w:pPr>
            <w:r w:rsidRPr="071F5B88">
              <w:rPr>
                <w:rFonts w:eastAsiaTheme="minorEastAsia"/>
                <w:sz w:val="20"/>
                <w:szCs w:val="20"/>
                <w:lang w:val="en"/>
              </w:rPr>
              <w:t>Explain the processes of modeling/remodeling, including the cell types involved in these processes</w:t>
            </w:r>
          </w:p>
          <w:p w14:paraId="47D2787D" w14:textId="6362C781" w:rsidR="527CE84D" w:rsidRDefault="527CE84D" w:rsidP="071F5B88">
            <w:pPr>
              <w:spacing w:after="120"/>
              <w:rPr>
                <w:rFonts w:eastAsiaTheme="minorEastAsia"/>
                <w:sz w:val="20"/>
                <w:szCs w:val="20"/>
                <w:lang w:val="en"/>
              </w:rPr>
            </w:pPr>
            <w:r w:rsidRPr="071F5B88">
              <w:rPr>
                <w:rFonts w:eastAsiaTheme="minorEastAsia"/>
                <w:sz w:val="20"/>
                <w:szCs w:val="20"/>
                <w:lang w:val="en"/>
              </w:rPr>
              <w:t>Describe the microscopic structure of bone and the function and cellular precursors of bone cells (osteoblasts, osteocytes, and osteoclasts)</w:t>
            </w:r>
          </w:p>
          <w:p w14:paraId="3CADFE93" w14:textId="4752F512" w:rsidR="527CE84D" w:rsidRDefault="527CE84D" w:rsidP="071F5B88">
            <w:pPr>
              <w:spacing w:after="120"/>
              <w:rPr>
                <w:rFonts w:eastAsiaTheme="minorEastAsia"/>
                <w:sz w:val="20"/>
                <w:szCs w:val="20"/>
                <w:lang w:val="en"/>
              </w:rPr>
            </w:pPr>
            <w:r w:rsidRPr="071F5B88">
              <w:rPr>
                <w:rFonts w:eastAsiaTheme="minorEastAsia"/>
                <w:sz w:val="20"/>
                <w:szCs w:val="20"/>
                <w:lang w:val="en"/>
              </w:rPr>
              <w:t>Explain bone histology sampling procedures (</w:t>
            </w:r>
            <w:r w:rsidR="006D4AC7" w:rsidRPr="071F5B88">
              <w:rPr>
                <w:rFonts w:eastAsiaTheme="minorEastAsia"/>
                <w:sz w:val="20"/>
                <w:szCs w:val="20"/>
                <w:lang w:val="en"/>
              </w:rPr>
              <w:t>e.g.,</w:t>
            </w:r>
            <w:r w:rsidRPr="071F5B88">
              <w:rPr>
                <w:rFonts w:eastAsiaTheme="minorEastAsia"/>
                <w:sz w:val="20"/>
                <w:szCs w:val="20"/>
                <w:lang w:val="en"/>
              </w:rPr>
              <w:t xml:space="preserve"> sampling sites)</w:t>
            </w:r>
          </w:p>
          <w:p w14:paraId="288B1E0E" w14:textId="328FB993" w:rsidR="527CE84D" w:rsidRDefault="527CE84D" w:rsidP="071F5B88">
            <w:pPr>
              <w:spacing w:after="120"/>
              <w:rPr>
                <w:rFonts w:eastAsiaTheme="minorEastAsia"/>
                <w:sz w:val="20"/>
                <w:szCs w:val="20"/>
                <w:lang w:val="en"/>
              </w:rPr>
            </w:pPr>
            <w:r w:rsidRPr="071F5B88">
              <w:rPr>
                <w:rFonts w:eastAsiaTheme="minorEastAsia"/>
                <w:sz w:val="20"/>
                <w:szCs w:val="20"/>
                <w:lang w:val="en"/>
              </w:rPr>
              <w:t>Summarize the development of skeletal ossification centers and epiphyses, including timing, sequence, and sexual dimorphism</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4717E8" w14:textId="48C359C3"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617ED5E6" w14:textId="3FE755EA" w:rsidR="527CE84D" w:rsidRDefault="527CE84D" w:rsidP="071F5B88">
            <w:pPr>
              <w:spacing w:after="120"/>
              <w:rPr>
                <w:rFonts w:eastAsiaTheme="minorEastAsia"/>
                <w:sz w:val="20"/>
                <w:szCs w:val="20"/>
                <w:lang w:val="en"/>
              </w:rPr>
            </w:pPr>
            <w:r w:rsidRPr="071F5B88">
              <w:rPr>
                <w:rFonts w:eastAsiaTheme="minorEastAsia"/>
                <w:sz w:val="20"/>
                <w:szCs w:val="20"/>
                <w:lang w:val="en"/>
              </w:rPr>
              <w:t>Explain the biomechanical characteristics of bone, including material properties and principles associated with bone fracturing and remodeling</w:t>
            </w:r>
          </w:p>
          <w:p w14:paraId="5091E359" w14:textId="2EF2A019" w:rsidR="527CE84D" w:rsidRDefault="527CE84D" w:rsidP="071F5B88">
            <w:pPr>
              <w:spacing w:after="120"/>
              <w:rPr>
                <w:rFonts w:eastAsiaTheme="minorEastAsia"/>
                <w:sz w:val="20"/>
                <w:szCs w:val="20"/>
                <w:lang w:val="en"/>
              </w:rPr>
            </w:pPr>
            <w:r w:rsidRPr="071F5B88">
              <w:rPr>
                <w:rFonts w:eastAsiaTheme="minorEastAsia"/>
                <w:sz w:val="20"/>
                <w:szCs w:val="20"/>
                <w:lang w:val="en"/>
              </w:rPr>
              <w:t>Apply knowledge of bone remodeling to issues of medicolegal importance (e.g., trauma, fracture healing)</w:t>
            </w:r>
          </w:p>
          <w:p w14:paraId="434A1953" w14:textId="715DD65D"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functional, anatomical, and/or forensic anthropological significance of bony features and landmarks (e.g., named muscles and ligament attaching to bony features, suture intersections, foramina, etc.)</w:t>
            </w:r>
          </w:p>
          <w:p w14:paraId="79949B7B" w14:textId="088E2740"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Discuss the utility and limitations of histological analyses in forensic anthropology casework </w:t>
            </w:r>
          </w:p>
        </w:tc>
      </w:tr>
      <w:tr w:rsidR="527CE84D" w14:paraId="1ABD4E61" w14:textId="77777777" w:rsidTr="071F5B88">
        <w:trPr>
          <w:trHeight w:val="111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4D1C4038" w14:textId="01FCB5A8" w:rsidR="527CE84D" w:rsidRDefault="527CE84D" w:rsidP="071F5B88">
            <w:pPr>
              <w:spacing w:after="40"/>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Documentation (Basic Forensic Science)</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64382FC1" w14:textId="313D7B03"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Compile appropriate data and observations in bench notes</w:t>
            </w:r>
          </w:p>
          <w:p w14:paraId="62695FB9" w14:textId="4C715267"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Explain the function of bench notes in forensic casework</w:t>
            </w:r>
          </w:p>
          <w:p w14:paraId="06D563F9" w14:textId="592A6EB7"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Photo-document skeletal evidence.</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2F367BAF" w14:textId="539DF296"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 xml:space="preserve">All Analyst Competencies </w:t>
            </w:r>
          </w:p>
        </w:tc>
      </w:tr>
      <w:tr w:rsidR="527CE84D" w14:paraId="67157D46" w14:textId="77777777" w:rsidTr="071F5B88">
        <w:trPr>
          <w:trHeight w:val="30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8731EF" w14:textId="3B513452" w:rsidR="527CE84D" w:rsidRDefault="527CE84D" w:rsidP="071F5B88">
            <w:pPr>
              <w:spacing w:after="40"/>
              <w:rPr>
                <w:rFonts w:eastAsiaTheme="minorEastAsia"/>
                <w:sz w:val="20"/>
                <w:szCs w:val="20"/>
                <w:lang w:val="en"/>
              </w:rPr>
            </w:pPr>
            <w:r w:rsidRPr="071F5B88">
              <w:rPr>
                <w:rFonts w:eastAsiaTheme="minorEastAsia"/>
                <w:sz w:val="20"/>
                <w:szCs w:val="20"/>
                <w:lang w:val="en"/>
              </w:rPr>
              <w:t>Evidence Handling (Basic Forensic Science)</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99DDF6" w14:textId="1DC224A2"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Explain the importance of the chain of custody </w:t>
            </w:r>
          </w:p>
          <w:p w14:paraId="6CA55ED2" w14:textId="2322488D"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Describe appropriate chain of custody procedures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140B0F" w14:textId="627791FC"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w:t>
            </w:r>
          </w:p>
          <w:p w14:paraId="474D67A3" w14:textId="04156A97"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 </w:t>
            </w:r>
          </w:p>
        </w:tc>
      </w:tr>
      <w:tr w:rsidR="527CE84D" w14:paraId="277517B6" w14:textId="77777777" w:rsidTr="071F5B88">
        <w:trPr>
          <w:trHeight w:val="1875"/>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52D52000" w14:textId="454A2958" w:rsidR="527CE84D" w:rsidRDefault="527CE84D" w:rsidP="071F5B88">
            <w:pPr>
              <w:spacing w:after="40"/>
              <w:rPr>
                <w:rFonts w:eastAsiaTheme="minorEastAsia"/>
                <w:color w:val="000000" w:themeColor="text1"/>
                <w:sz w:val="20"/>
                <w:szCs w:val="20"/>
                <w:lang w:val="en"/>
              </w:rPr>
            </w:pPr>
            <w:r w:rsidRPr="071F5B88">
              <w:rPr>
                <w:rFonts w:eastAsiaTheme="minorEastAsia"/>
                <w:color w:val="000000" w:themeColor="text1"/>
                <w:sz w:val="20"/>
                <w:szCs w:val="20"/>
                <w:lang w:val="en"/>
              </w:rPr>
              <w:t>Field Recovery</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1460F714" w14:textId="61C53056"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common search methods (line search, etc.) and explain/justify the selection of a particular search method given common scene/environmental conditions</w:t>
            </w:r>
          </w:p>
          <w:p w14:paraId="00B9A89C" w14:textId="030F48BD"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the appropriate tools, equipment, software, and techniques to document remains at a scene</w:t>
            </w:r>
          </w:p>
          <w:p w14:paraId="491A814B" w14:textId="2C6D341F"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Define common archaeological terms, principles and excavation techniques.</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5DAE7C26" w14:textId="44CD5054"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All Analyst Competencies PLUS:</w:t>
            </w:r>
          </w:p>
          <w:p w14:paraId="68EC055C" w14:textId="4A3F5234"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Apply and interpret the principles of geoarchaeology, stratigraphy, and soil formation relative to forensic archaeological excavation</w:t>
            </w:r>
          </w:p>
          <w:p w14:paraId="53161AA2" w14:textId="7710081A"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Discuss the unique characteristics and concerns of managing, recovering, and documenting mass burials and mass fatality scenes</w:t>
            </w:r>
          </w:p>
        </w:tc>
      </w:tr>
      <w:tr w:rsidR="527CE84D" w14:paraId="47B7D310" w14:textId="77777777" w:rsidTr="071F5B88">
        <w:trPr>
          <w:trHeight w:val="30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98E60D" w14:textId="34F71635" w:rsidR="527CE84D" w:rsidRDefault="527CE84D" w:rsidP="071F5B88">
            <w:pPr>
              <w:spacing w:after="40"/>
              <w:rPr>
                <w:rFonts w:eastAsiaTheme="minorEastAsia"/>
                <w:sz w:val="20"/>
                <w:szCs w:val="20"/>
                <w:lang w:val="en"/>
              </w:rPr>
            </w:pPr>
            <w:r w:rsidRPr="071F5B88">
              <w:rPr>
                <w:rFonts w:eastAsiaTheme="minorEastAsia"/>
                <w:sz w:val="20"/>
                <w:szCs w:val="20"/>
                <w:lang w:val="en"/>
              </w:rPr>
              <w:t>Forensic or Medicolegal Significance</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41FAB" w14:textId="20FD41FE" w:rsidR="527CE84D" w:rsidRDefault="527CE84D" w:rsidP="071F5B88">
            <w:pPr>
              <w:spacing w:after="120"/>
              <w:rPr>
                <w:rFonts w:eastAsiaTheme="minorEastAsia"/>
                <w:sz w:val="20"/>
                <w:szCs w:val="20"/>
                <w:lang w:val="en"/>
              </w:rPr>
            </w:pPr>
            <w:r w:rsidRPr="071F5B88">
              <w:rPr>
                <w:rFonts w:eastAsiaTheme="minorEastAsia"/>
                <w:sz w:val="20"/>
                <w:szCs w:val="20"/>
                <w:lang w:val="en"/>
              </w:rPr>
              <w:t>Determine medicolegal significance of remains based on basic anatomy/physical characteristics.</w:t>
            </w:r>
          </w:p>
          <w:p w14:paraId="24071888" w14:textId="3A2C214F" w:rsidR="527CE84D" w:rsidRDefault="527CE84D" w:rsidP="071F5B88">
            <w:pPr>
              <w:spacing w:after="120"/>
              <w:rPr>
                <w:rFonts w:eastAsiaTheme="minorEastAsia"/>
                <w:sz w:val="20"/>
                <w:szCs w:val="20"/>
                <w:lang w:val="en"/>
              </w:rPr>
            </w:pPr>
            <w:r w:rsidRPr="071F5B88">
              <w:rPr>
                <w:rFonts w:eastAsiaTheme="minorEastAsia"/>
                <w:sz w:val="20"/>
                <w:szCs w:val="20"/>
                <w:lang w:val="en"/>
              </w:rPr>
              <w:t>Recognize the importance of context for in situ remains</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7C69A2" w14:textId="3E82571A"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6C06DD30" w14:textId="48AF125C"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Evaluate complex scenarios with reference to taphonomic characteristics, anatomical variations, and case contexts to </w:t>
            </w:r>
            <w:r w:rsidR="006D4AC7" w:rsidRPr="071F5B88">
              <w:rPr>
                <w:rFonts w:eastAsiaTheme="minorEastAsia"/>
                <w:sz w:val="20"/>
                <w:szCs w:val="20"/>
                <w:lang w:val="en"/>
              </w:rPr>
              <w:t>determine medicolegal</w:t>
            </w:r>
            <w:r w:rsidRPr="071F5B88">
              <w:rPr>
                <w:rFonts w:eastAsiaTheme="minorEastAsia"/>
                <w:sz w:val="20"/>
                <w:szCs w:val="20"/>
                <w:lang w:val="en"/>
              </w:rPr>
              <w:t xml:space="preserve"> significance</w:t>
            </w:r>
          </w:p>
          <w:p w14:paraId="1F453246" w14:textId="4CF7EF99" w:rsidR="527CE84D" w:rsidRDefault="527CE84D" w:rsidP="071F5B88">
            <w:pPr>
              <w:spacing w:after="120"/>
              <w:rPr>
                <w:rFonts w:eastAsiaTheme="minorEastAsia"/>
                <w:sz w:val="20"/>
                <w:szCs w:val="20"/>
                <w:lang w:val="en"/>
              </w:rPr>
            </w:pPr>
            <w:r w:rsidRPr="071F5B88">
              <w:rPr>
                <w:rFonts w:eastAsiaTheme="minorEastAsia"/>
                <w:sz w:val="20"/>
                <w:szCs w:val="20"/>
                <w:lang w:val="en"/>
              </w:rPr>
              <w:t>Explain the limitations of methods used in determining medicolegal significance</w:t>
            </w:r>
          </w:p>
        </w:tc>
      </w:tr>
      <w:tr w:rsidR="527CE84D" w14:paraId="28B57F91" w14:textId="77777777" w:rsidTr="071F5B88">
        <w:trPr>
          <w:trHeight w:val="711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708F982A" w14:textId="62FE13BF" w:rsidR="527CE84D" w:rsidRDefault="527CE84D" w:rsidP="071F5B88">
            <w:pPr>
              <w:spacing w:after="40"/>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Taphonomy and the Postmortem Interval</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1B98D4DB" w14:textId="1F95F1A0"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general characteristics of taphonomic features (e.g., scavenging, weathering, alterations resulting from coffin burial, trophy preparation, anatomical preparation)</w:t>
            </w:r>
          </w:p>
          <w:p w14:paraId="467BE592" w14:textId="63FB7AA0"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the stages of soft tissue decomposition and bone diagenesis and how variables (scavenging, environmental, climatic, etc.) affect the rate of decomposition and estimation of postmortem interval</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67A6A631" w14:textId="3CE5A363"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All Analyst Competencies PLUS:</w:t>
            </w:r>
          </w:p>
          <w:p w14:paraId="3833E858" w14:textId="588E5ACF"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macro- and microscopic changes in skeletal and dental remains derived from common postmortem causes, including biotic, abiotic, thermal, and anthropogenic sources</w:t>
            </w:r>
          </w:p>
          <w:p w14:paraId="4D52D739" w14:textId="5D400E45"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 xml:space="preserve">Infer provenience, context, and forensic significance from taphonomic indicators (e.g., former trophy, anatomical, ritual, cemetery, marine, and terrestrial surface remains). </w:t>
            </w:r>
          </w:p>
          <w:p w14:paraId="3CF8EE19" w14:textId="0768CCF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Differentiate taphonomic changes to bone from trauma and pathological changes</w:t>
            </w:r>
          </w:p>
          <w:p w14:paraId="4E92E9F8" w14:textId="47303B97"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Identify the taphonomic agents responsible for remains dispersal and reconcentration and factors that affect bone survivability</w:t>
            </w:r>
          </w:p>
          <w:p w14:paraId="25B73F6F" w14:textId="6C614BB3"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Identify the taphonomic agents responsible for common postmortem alterations based on feature characteristics and patterns</w:t>
            </w:r>
          </w:p>
          <w:p w14:paraId="217CD0E0" w14:textId="3CA0533F"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 xml:space="preserve">Interpret factors that may influence the rate, appearance, and pattern of decomposition and diagenesis, including the intrinsic biological variables and extrinsic environmental variables responsible for the change. </w:t>
            </w:r>
          </w:p>
          <w:p w14:paraId="17CCEF74" w14:textId="3E1C5F8F"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Explain methods used to estimate the postmortem interval, from recent postmortem changes through radio-isotopic means, including method limitations</w:t>
            </w:r>
          </w:p>
          <w:p w14:paraId="415C8694" w14:textId="57A62E26"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Apply methods of postmortem interval estimation, and interpret results</w:t>
            </w:r>
          </w:p>
          <w:p w14:paraId="00F1E1E3" w14:textId="4B6BA306"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Explain how foundational research in taphonomy and PMI contributed to the current body of knowledge and practice in forensic anthropology</w:t>
            </w:r>
          </w:p>
        </w:tc>
      </w:tr>
      <w:tr w:rsidR="527CE84D" w14:paraId="57E76372" w14:textId="77777777" w:rsidTr="071F5B88">
        <w:trPr>
          <w:trHeight w:val="126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B2925A" w14:textId="5090A4C6" w:rsidR="527CE84D" w:rsidRDefault="527CE84D" w:rsidP="071F5B88">
            <w:pPr>
              <w:spacing w:after="40"/>
              <w:rPr>
                <w:rFonts w:eastAsiaTheme="minorEastAsia"/>
                <w:sz w:val="20"/>
                <w:szCs w:val="20"/>
                <w:lang w:val="en"/>
              </w:rPr>
            </w:pPr>
            <w:r w:rsidRPr="071F5B88">
              <w:rPr>
                <w:rFonts w:eastAsiaTheme="minorEastAsia"/>
                <w:sz w:val="20"/>
                <w:szCs w:val="20"/>
                <w:lang w:val="en"/>
              </w:rPr>
              <w:t>Processing</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F5F8A6" w14:textId="7769F668" w:rsidR="527CE84D" w:rsidRDefault="527CE84D" w:rsidP="071F5B88">
            <w:pPr>
              <w:spacing w:after="120"/>
              <w:rPr>
                <w:rFonts w:eastAsiaTheme="minorEastAsia"/>
                <w:sz w:val="20"/>
                <w:szCs w:val="20"/>
                <w:lang w:val="en"/>
              </w:rPr>
            </w:pPr>
            <w:r w:rsidRPr="071F5B88">
              <w:rPr>
                <w:rFonts w:eastAsiaTheme="minorEastAsia"/>
                <w:sz w:val="20"/>
                <w:szCs w:val="20"/>
                <w:lang w:val="en"/>
              </w:rPr>
              <w:t>Describe appropriate methods to process remains for skeletal analysis</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3170A1" w14:textId="75250B2C"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7F31A2B0" w14:textId="12135013" w:rsidR="527CE84D" w:rsidRDefault="527CE84D" w:rsidP="071F5B88">
            <w:pPr>
              <w:spacing w:after="120"/>
              <w:rPr>
                <w:rFonts w:eastAsiaTheme="minorEastAsia"/>
                <w:sz w:val="20"/>
                <w:szCs w:val="20"/>
                <w:lang w:val="en"/>
              </w:rPr>
            </w:pPr>
            <w:r w:rsidRPr="071F5B88">
              <w:rPr>
                <w:rFonts w:eastAsiaTheme="minorEastAsia"/>
                <w:sz w:val="20"/>
                <w:szCs w:val="20"/>
                <w:lang w:val="en"/>
              </w:rPr>
              <w:t>Discuss processing methods and their potential effects on skeletal analyses (e.g., trauma, elemental analysis, DNA survivability)</w:t>
            </w:r>
          </w:p>
        </w:tc>
      </w:tr>
      <w:tr w:rsidR="527CE84D" w14:paraId="40F98B7F" w14:textId="77777777" w:rsidTr="071F5B88">
        <w:trPr>
          <w:trHeight w:val="189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5B6AFFA0" w14:textId="0EF50715" w:rsidR="527CE84D" w:rsidRDefault="527CE84D" w:rsidP="071F5B88">
            <w:pPr>
              <w:spacing w:after="40"/>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MNI and Commingled Assemblages</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1AB8B4EA" w14:textId="685D174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Sort commingled remains</w:t>
            </w:r>
          </w:p>
          <w:p w14:paraId="49F60F21" w14:textId="50E04D80"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Determine the minimum number of individuals following best practices in the discipline</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07F32F49" w14:textId="1AF4FD4C"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All Analyst Competencies PLUS:</w:t>
            </w:r>
          </w:p>
          <w:p w14:paraId="731C3FF6" w14:textId="23530BB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Discuss the causes and effects of commingling upon skeletal assemblages and identification efforts</w:t>
            </w:r>
          </w:p>
          <w:p w14:paraId="651BADD0" w14:textId="1763DA52"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Compare methods employed to resolve commingling and their limitations and apply this to an assemblage (</w:t>
            </w:r>
            <w:r w:rsidR="006D4AC7" w:rsidRPr="071F5B88">
              <w:rPr>
                <w:rFonts w:eastAsiaTheme="minorEastAsia"/>
                <w:color w:val="000000" w:themeColor="text1"/>
                <w:sz w:val="20"/>
                <w:szCs w:val="20"/>
                <w:lang w:val="en"/>
              </w:rPr>
              <w:t>e.g.,</w:t>
            </w:r>
            <w:r w:rsidRPr="071F5B88">
              <w:rPr>
                <w:rFonts w:eastAsiaTheme="minorEastAsia"/>
                <w:color w:val="000000" w:themeColor="text1"/>
                <w:sz w:val="20"/>
                <w:szCs w:val="20"/>
                <w:lang w:val="en"/>
              </w:rPr>
              <w:t xml:space="preserve"> MNI, MNLI, etc.)</w:t>
            </w:r>
          </w:p>
        </w:tc>
      </w:tr>
      <w:tr w:rsidR="527CE84D" w14:paraId="71DB26CD" w14:textId="77777777" w:rsidTr="071F5B88">
        <w:trPr>
          <w:trHeight w:val="711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7D1E35" w14:textId="364E7E35" w:rsidR="527CE84D" w:rsidRDefault="527CE84D" w:rsidP="071F5B88">
            <w:pPr>
              <w:rPr>
                <w:rFonts w:eastAsiaTheme="minorEastAsia"/>
                <w:sz w:val="20"/>
                <w:szCs w:val="20"/>
                <w:lang w:val="en"/>
              </w:rPr>
            </w:pPr>
            <w:r w:rsidRPr="071F5B88">
              <w:rPr>
                <w:rFonts w:eastAsiaTheme="minorEastAsia"/>
                <w:sz w:val="20"/>
                <w:szCs w:val="20"/>
                <w:lang w:val="en"/>
              </w:rPr>
              <w:t>Bioprofile</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6AACE6" w14:textId="33E1DF8E" w:rsidR="527CE84D" w:rsidRDefault="527CE84D" w:rsidP="071F5B88">
            <w:pPr>
              <w:spacing w:after="120"/>
              <w:rPr>
                <w:rFonts w:eastAsiaTheme="minorEastAsia"/>
                <w:sz w:val="20"/>
                <w:szCs w:val="20"/>
                <w:lang w:val="en"/>
              </w:rPr>
            </w:pPr>
            <w:r w:rsidRPr="071F5B88">
              <w:rPr>
                <w:rFonts w:eastAsiaTheme="minorEastAsia"/>
                <w:sz w:val="20"/>
                <w:szCs w:val="20"/>
                <w:lang w:val="en"/>
              </w:rPr>
              <w:t>Score, measure, and record metric and morphoscopic/morphological variables according to accepted and defined procedures for estimating bioprofile parameters</w:t>
            </w:r>
          </w:p>
          <w:p w14:paraId="73B83B96" w14:textId="710E1D11" w:rsidR="527CE84D" w:rsidRDefault="527CE84D" w:rsidP="071F5B88">
            <w:pPr>
              <w:spacing w:after="120"/>
              <w:rPr>
                <w:rFonts w:eastAsiaTheme="minorEastAsia"/>
                <w:sz w:val="20"/>
                <w:szCs w:val="20"/>
                <w:lang w:val="en"/>
              </w:rPr>
            </w:pPr>
            <w:r w:rsidRPr="071F5B88">
              <w:rPr>
                <w:rFonts w:eastAsiaTheme="minorEastAsia"/>
                <w:sz w:val="20"/>
                <w:szCs w:val="20"/>
                <w:lang w:val="en"/>
              </w:rPr>
              <w:t>Use software programs relevant to bioprofile analyses</w:t>
            </w:r>
          </w:p>
          <w:p w14:paraId="127335C6" w14:textId="7BA5EAB1"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7A9447" w14:textId="1DFE1BC0"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16880435" w14:textId="7FEFC8B7" w:rsidR="527CE84D" w:rsidRDefault="527CE84D" w:rsidP="071F5B88">
            <w:pPr>
              <w:spacing w:after="120"/>
              <w:rPr>
                <w:rFonts w:eastAsiaTheme="minorEastAsia"/>
                <w:sz w:val="20"/>
                <w:szCs w:val="20"/>
                <w:lang w:val="en"/>
              </w:rPr>
            </w:pPr>
            <w:r w:rsidRPr="071F5B88">
              <w:rPr>
                <w:rFonts w:eastAsiaTheme="minorEastAsia"/>
                <w:sz w:val="20"/>
                <w:szCs w:val="20"/>
                <w:lang w:val="en"/>
              </w:rPr>
              <w:t>Develop a bioprofile, including interpretation and synthesis of multiple methods to estimate and report components of the bioprofile following best practices in the discipline</w:t>
            </w:r>
          </w:p>
          <w:p w14:paraId="1A32EFEB" w14:textId="3906C712"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Discuss the morphoscopic/morphological features and/or metric variables, reference populations, and statistical analyses relevant to methods for estimating bioprofile components </w:t>
            </w:r>
          </w:p>
          <w:p w14:paraId="488E8B62" w14:textId="095B5A49" w:rsidR="527CE84D" w:rsidRDefault="527CE84D" w:rsidP="071F5B88">
            <w:pPr>
              <w:spacing w:after="120"/>
              <w:rPr>
                <w:rFonts w:eastAsiaTheme="minorEastAsia"/>
                <w:sz w:val="20"/>
                <w:szCs w:val="20"/>
                <w:lang w:val="en"/>
              </w:rPr>
            </w:pPr>
            <w:r w:rsidRPr="071F5B88">
              <w:rPr>
                <w:rFonts w:eastAsiaTheme="minorEastAsia"/>
                <w:sz w:val="20"/>
                <w:szCs w:val="20"/>
                <w:lang w:val="en"/>
              </w:rPr>
              <w:t>Incorporate the results of validation studies of age-at-death, sex, and ancestry/population affinity estimation methods into decisions about method selection.</w:t>
            </w:r>
          </w:p>
          <w:p w14:paraId="6E1D73A9" w14:textId="3A103970"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limitations to forensic age-at-death, sex, ancestry/population affinity, and stature estimation methods</w:t>
            </w:r>
          </w:p>
          <w:p w14:paraId="307BEB0B" w14:textId="23A8D084" w:rsidR="527CE84D" w:rsidRDefault="527CE84D" w:rsidP="071F5B88">
            <w:pPr>
              <w:spacing w:after="120"/>
              <w:rPr>
                <w:rFonts w:eastAsiaTheme="minorEastAsia"/>
                <w:sz w:val="20"/>
                <w:szCs w:val="20"/>
                <w:lang w:val="en"/>
              </w:rPr>
            </w:pPr>
            <w:r w:rsidRPr="071F5B88">
              <w:rPr>
                <w:rFonts w:eastAsiaTheme="minorEastAsia"/>
                <w:sz w:val="20"/>
                <w:szCs w:val="20"/>
                <w:lang w:val="en"/>
              </w:rPr>
              <w:t>Discuss variables that may affect analytical results of methods used to develop the biological profile (</w:t>
            </w:r>
            <w:r w:rsidR="006D4AC7" w:rsidRPr="071F5B88">
              <w:rPr>
                <w:rFonts w:eastAsiaTheme="minorEastAsia"/>
                <w:sz w:val="20"/>
                <w:szCs w:val="20"/>
                <w:lang w:val="en"/>
              </w:rPr>
              <w:t>e.g.,</w:t>
            </w:r>
            <w:r w:rsidRPr="071F5B88">
              <w:rPr>
                <w:rFonts w:eastAsiaTheme="minorEastAsia"/>
                <w:sz w:val="20"/>
                <w:szCs w:val="20"/>
                <w:lang w:val="en"/>
              </w:rPr>
              <w:t xml:space="preserve"> genetics, nutrition, health, secular change, anatomical variation, pathology, taphonomy, trauma)</w:t>
            </w:r>
          </w:p>
          <w:p w14:paraId="3FAD78B4" w14:textId="5EFCEAA2" w:rsidR="527CE84D" w:rsidRDefault="527CE84D" w:rsidP="071F5B88">
            <w:pPr>
              <w:spacing w:after="120"/>
              <w:rPr>
                <w:rFonts w:eastAsiaTheme="minorEastAsia"/>
                <w:sz w:val="20"/>
                <w:szCs w:val="20"/>
                <w:lang w:val="en"/>
              </w:rPr>
            </w:pPr>
            <w:r w:rsidRPr="071F5B88">
              <w:rPr>
                <w:rFonts w:eastAsiaTheme="minorEastAsia"/>
                <w:sz w:val="20"/>
                <w:szCs w:val="20"/>
                <w:lang w:val="en"/>
              </w:rPr>
              <w:t>Explain how major historical research in age, sex, ancestry/population affinity, and stature estimation contributed to the current body of knowledge and practice in forensic anthropology</w:t>
            </w:r>
          </w:p>
          <w:p w14:paraId="0F9C8488" w14:textId="5EE57807"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distinction between biological sex assigned at birth and gender and implications of these categories in forensic casework</w:t>
            </w:r>
          </w:p>
          <w:p w14:paraId="632975F0" w14:textId="56A668CA"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concepts of race, ethnicity, genetic ancestry, and population affinity, and discuss the relevance of these categories to forensic casework</w:t>
            </w:r>
          </w:p>
        </w:tc>
      </w:tr>
      <w:tr w:rsidR="527CE84D" w14:paraId="03727365" w14:textId="77777777" w:rsidTr="071F5B88">
        <w:trPr>
          <w:trHeight w:val="2385"/>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44649DBE" w14:textId="2D1736AC" w:rsidR="527CE84D" w:rsidRDefault="527CE84D" w:rsidP="071F5B88">
            <w:pPr>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 xml:space="preserve">Statistics </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1078C35A" w14:textId="684C1C14"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Understand foundational concepts in statistics, including standard terminology (e.g., range, interval, standard deviation, mean), types of data (e.g., ordinal, continuous), and basic analyses (e.g., univariate vs. multivariate, discriminant function analysis, linear regression, etc.).</w:t>
            </w:r>
          </w:p>
          <w:p w14:paraId="08C012BA" w14:textId="2B52EAA3"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 xml:space="preserve">Report appropriate statistical information with method results (e.g., intervals, accuracy, probability, confidence level, a priori).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7CC58303" w14:textId="11459E5A"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All Analyst Competencies PLUS:</w:t>
            </w:r>
          </w:p>
          <w:p w14:paraId="31A385EA" w14:textId="582005A0"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Explain the application of various statistical models in forensic anthropological casework</w:t>
            </w:r>
          </w:p>
          <w:p w14:paraId="6453B675" w14:textId="453A0CA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Interpret statistical outputs generated from commonly used methods in forensic anthropological casework</w:t>
            </w:r>
          </w:p>
          <w:p w14:paraId="6FB5AF02" w14:textId="609292A9"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Apply appropriate methods based on methodological limitations and applicability</w:t>
            </w:r>
          </w:p>
        </w:tc>
      </w:tr>
      <w:tr w:rsidR="527CE84D" w14:paraId="11DB5EC7" w14:textId="77777777" w:rsidTr="071F5B88">
        <w:trPr>
          <w:trHeight w:val="4125"/>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F3EE02" w14:textId="5A1A88F4" w:rsidR="527CE84D" w:rsidRDefault="527CE84D" w:rsidP="071F5B88">
            <w:pPr>
              <w:spacing w:after="40"/>
              <w:rPr>
                <w:rFonts w:eastAsiaTheme="minorEastAsia"/>
                <w:sz w:val="20"/>
                <w:szCs w:val="20"/>
                <w:lang w:val="en"/>
              </w:rPr>
            </w:pPr>
            <w:r w:rsidRPr="071F5B88">
              <w:rPr>
                <w:rFonts w:eastAsiaTheme="minorEastAsia"/>
                <w:sz w:val="20"/>
                <w:szCs w:val="20"/>
                <w:lang w:val="en"/>
              </w:rPr>
              <w:t>Pathological Conditions and Anomalies</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419E84" w14:textId="126D45B0" w:rsidR="527CE84D" w:rsidRDefault="527CE84D" w:rsidP="071F5B88">
            <w:pPr>
              <w:spacing w:after="120"/>
              <w:rPr>
                <w:rFonts w:eastAsiaTheme="minorEastAsia"/>
                <w:sz w:val="20"/>
                <w:szCs w:val="20"/>
                <w:lang w:val="en"/>
              </w:rPr>
            </w:pPr>
            <w:r w:rsidRPr="071F5B88">
              <w:rPr>
                <w:rFonts w:eastAsiaTheme="minorEastAsia"/>
                <w:sz w:val="20"/>
                <w:szCs w:val="20"/>
                <w:lang w:val="en"/>
              </w:rPr>
              <w:t>Describe classic characteristics of common pathological conditions affecting bone</w:t>
            </w:r>
          </w:p>
          <w:p w14:paraId="3D3434F4" w14:textId="3DB58A4C" w:rsidR="527CE84D" w:rsidRDefault="527CE84D" w:rsidP="071F5B88">
            <w:pPr>
              <w:spacing w:after="120"/>
              <w:rPr>
                <w:rFonts w:eastAsiaTheme="minorEastAsia"/>
                <w:sz w:val="20"/>
                <w:szCs w:val="20"/>
                <w:lang w:val="en"/>
              </w:rPr>
            </w:pPr>
            <w:r w:rsidRPr="071F5B88">
              <w:rPr>
                <w:rFonts w:eastAsiaTheme="minorEastAsia"/>
                <w:sz w:val="20"/>
                <w:szCs w:val="20"/>
                <w:lang w:val="en"/>
              </w:rPr>
              <w:t>Describe classic characteristics of common anatomical variants and skeletal anomalies</w:t>
            </w:r>
          </w:p>
          <w:p w14:paraId="5EF8DEC0" w14:textId="4F12BAEA"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3CBDEC" w14:textId="5CDE2548"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7805BCAC" w14:textId="50FBD023" w:rsidR="527CE84D" w:rsidRDefault="527CE84D" w:rsidP="071F5B88">
            <w:pPr>
              <w:spacing w:after="120"/>
              <w:rPr>
                <w:rFonts w:eastAsiaTheme="minorEastAsia"/>
                <w:sz w:val="20"/>
                <w:szCs w:val="20"/>
                <w:lang w:val="en"/>
              </w:rPr>
            </w:pPr>
            <w:r w:rsidRPr="071F5B88">
              <w:rPr>
                <w:rFonts w:eastAsiaTheme="minorEastAsia"/>
                <w:sz w:val="20"/>
                <w:szCs w:val="20"/>
                <w:lang w:val="en"/>
              </w:rPr>
              <w:t>Develop a differential diagnosis and provide the rationale</w:t>
            </w:r>
          </w:p>
          <w:p w14:paraId="0E2DB1DD" w14:textId="63CB0E03" w:rsidR="527CE84D" w:rsidRDefault="527CE84D" w:rsidP="071F5B88">
            <w:pPr>
              <w:spacing w:after="120"/>
              <w:rPr>
                <w:rFonts w:eastAsiaTheme="minorEastAsia"/>
                <w:sz w:val="20"/>
                <w:szCs w:val="20"/>
                <w:lang w:val="en"/>
              </w:rPr>
            </w:pPr>
            <w:r w:rsidRPr="071F5B88">
              <w:rPr>
                <w:rFonts w:eastAsiaTheme="minorEastAsia"/>
                <w:sz w:val="20"/>
                <w:szCs w:val="20"/>
                <w:lang w:val="en"/>
              </w:rPr>
              <w:t>Describe the etiology and underlying mechanism/processes of various pathological conditions in bone, if known.</w:t>
            </w:r>
          </w:p>
          <w:p w14:paraId="125B841A" w14:textId="0A8F9810" w:rsidR="527CE84D" w:rsidRDefault="527CE84D" w:rsidP="071F5B88">
            <w:pPr>
              <w:spacing w:after="120"/>
              <w:rPr>
                <w:rFonts w:eastAsiaTheme="minorEastAsia"/>
                <w:sz w:val="20"/>
                <w:szCs w:val="20"/>
                <w:lang w:val="en"/>
              </w:rPr>
            </w:pPr>
            <w:r w:rsidRPr="071F5B88">
              <w:rPr>
                <w:rFonts w:eastAsiaTheme="minorEastAsia"/>
                <w:sz w:val="20"/>
                <w:szCs w:val="20"/>
                <w:lang w:val="en"/>
              </w:rPr>
              <w:t>Describe diagnostic characteristics of various diseases and congenital/developmental anomalies that commonly affect bone</w:t>
            </w:r>
          </w:p>
          <w:p w14:paraId="4D75EC5B" w14:textId="47B9B471" w:rsidR="527CE84D" w:rsidRDefault="527CE84D" w:rsidP="071F5B88">
            <w:pPr>
              <w:spacing w:after="120"/>
              <w:rPr>
                <w:rFonts w:eastAsiaTheme="minorEastAsia"/>
                <w:sz w:val="20"/>
                <w:szCs w:val="20"/>
                <w:lang w:val="en"/>
              </w:rPr>
            </w:pPr>
            <w:r w:rsidRPr="071F5B88">
              <w:rPr>
                <w:rFonts w:eastAsiaTheme="minorEastAsia"/>
                <w:sz w:val="20"/>
                <w:szCs w:val="20"/>
                <w:lang w:val="en"/>
              </w:rPr>
              <w:t>Differentiate pathological changes from taphonomic and traumatic alterations to bone</w:t>
            </w:r>
          </w:p>
          <w:p w14:paraId="3EAEBBBD" w14:textId="3233BAC3" w:rsidR="527CE84D" w:rsidRDefault="527CE84D" w:rsidP="071F5B88">
            <w:pPr>
              <w:spacing w:after="120"/>
              <w:rPr>
                <w:rFonts w:eastAsiaTheme="minorEastAsia"/>
                <w:sz w:val="20"/>
                <w:szCs w:val="20"/>
                <w:lang w:val="en"/>
              </w:rPr>
            </w:pPr>
            <w:r w:rsidRPr="071F5B88">
              <w:rPr>
                <w:rFonts w:eastAsiaTheme="minorEastAsia"/>
                <w:sz w:val="20"/>
                <w:szCs w:val="20"/>
                <w:lang w:val="en"/>
              </w:rPr>
              <w:t>Distinguish non-pathological skeletal variation from bony pathological conditions or trauma</w:t>
            </w:r>
          </w:p>
          <w:p w14:paraId="3EF4A870" w14:textId="022E7250"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potential utility and limitations of using pathological conditions, antemortem trauma, and skeletal anomalies in identification</w:t>
            </w:r>
          </w:p>
        </w:tc>
      </w:tr>
      <w:tr w:rsidR="527CE84D" w14:paraId="63C5C7E3" w14:textId="77777777" w:rsidTr="071F5B88">
        <w:trPr>
          <w:trHeight w:val="30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6194D278" w14:textId="1C3FB4F1" w:rsidR="527CE84D" w:rsidRDefault="527CE84D" w:rsidP="071F5B88">
            <w:pPr>
              <w:rPr>
                <w:rFonts w:eastAsiaTheme="minorEastAsia"/>
                <w:color w:val="000000" w:themeColor="text1"/>
                <w:sz w:val="20"/>
                <w:szCs w:val="20"/>
                <w:lang w:val="en"/>
              </w:rPr>
            </w:pPr>
            <w:r w:rsidRPr="071F5B88">
              <w:rPr>
                <w:rFonts w:eastAsiaTheme="minorEastAsia"/>
                <w:color w:val="000000" w:themeColor="text1"/>
                <w:sz w:val="20"/>
                <w:szCs w:val="20"/>
                <w:lang w:val="en"/>
              </w:rPr>
              <w:t>Personal Identification</w:t>
            </w:r>
          </w:p>
          <w:p w14:paraId="2A072BCB" w14:textId="18FB9E1F" w:rsidR="527CE84D" w:rsidRDefault="527CE84D" w:rsidP="071F5B88">
            <w:pPr>
              <w:rPr>
                <w:rFonts w:eastAsiaTheme="minorEastAsia"/>
                <w:sz w:val="20"/>
                <w:szCs w:val="20"/>
                <w:lang w:val="en"/>
              </w:rPr>
            </w:pPr>
            <w:r w:rsidRPr="071F5B88">
              <w:rPr>
                <w:rFonts w:eastAsiaTheme="minorEastAsia"/>
                <w:sz w:val="20"/>
                <w:szCs w:val="20"/>
                <w:lang w:val="en"/>
              </w:rPr>
              <w:t xml:space="preserve"> </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4A3E486F" w14:textId="646CD6E5"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Identify features useful for personal ID (</w:t>
            </w:r>
            <w:r w:rsidR="006D4AC7" w:rsidRPr="071F5B88">
              <w:rPr>
                <w:rFonts w:eastAsiaTheme="minorEastAsia"/>
                <w:color w:val="000000" w:themeColor="text1"/>
                <w:sz w:val="20"/>
                <w:szCs w:val="20"/>
                <w:lang w:val="en"/>
              </w:rPr>
              <w:t>e.g.,</w:t>
            </w:r>
            <w:r w:rsidRPr="071F5B88">
              <w:rPr>
                <w:rFonts w:eastAsiaTheme="minorEastAsia"/>
                <w:color w:val="000000" w:themeColor="text1"/>
                <w:sz w:val="20"/>
                <w:szCs w:val="20"/>
                <w:lang w:val="en"/>
              </w:rPr>
              <w:t xml:space="preserve"> frontal sinus, sternotomy wires, dental fillings and implants) on radiologic images and/or skeletal remains</w:t>
            </w:r>
          </w:p>
          <w:p w14:paraId="1E244672" w14:textId="514A7C54"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Define radiologic imaging terminology (</w:t>
            </w:r>
            <w:r w:rsidR="006D4AC7" w:rsidRPr="071F5B88">
              <w:rPr>
                <w:rFonts w:eastAsiaTheme="minorEastAsia"/>
                <w:color w:val="000000" w:themeColor="text1"/>
                <w:sz w:val="20"/>
                <w:szCs w:val="20"/>
                <w:lang w:val="en"/>
              </w:rPr>
              <w:t>e.g.,</w:t>
            </w:r>
            <w:r w:rsidRPr="071F5B88">
              <w:rPr>
                <w:rFonts w:eastAsiaTheme="minorEastAsia"/>
                <w:color w:val="000000" w:themeColor="text1"/>
                <w:sz w:val="20"/>
                <w:szCs w:val="20"/>
                <w:lang w:val="en"/>
              </w:rPr>
              <w:t xml:space="preserve"> radiolucency, radiopacity, radiodensity, etc.)</w:t>
            </w:r>
          </w:p>
          <w:p w14:paraId="609E572C" w14:textId="5A90976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Differentiate hard and soft tissues on imaging</w:t>
            </w:r>
          </w:p>
          <w:p w14:paraId="7CAC5FCF" w14:textId="6C12BA1F"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Identify skeletal landmarks and features on imaging</w:t>
            </w:r>
          </w:p>
          <w:p w14:paraId="4AD308D2" w14:textId="0C8EBF7E"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Describe basic uses of isotopic testing</w:t>
            </w:r>
          </w:p>
          <w:p w14:paraId="472F9DCA" w14:textId="28F88F7E"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List the most suitable elements for isotopic analyses</w:t>
            </w:r>
          </w:p>
          <w:p w14:paraId="6837E7C1" w14:textId="072BFA46"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Identify gross and radiographic characteristics indicative of osseous healing (i.e., sclerosis, new bone formation)</w:t>
            </w:r>
          </w:p>
          <w:p w14:paraId="28527E98" w14:textId="6AE97310"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Utilize appropriate identification terminology (</w:t>
            </w:r>
            <w:r w:rsidR="006D4AC7" w:rsidRPr="071F5B88">
              <w:rPr>
                <w:rFonts w:eastAsiaTheme="minorEastAsia"/>
                <w:color w:val="000000" w:themeColor="text1"/>
                <w:sz w:val="20"/>
                <w:szCs w:val="20"/>
                <w:lang w:val="en"/>
              </w:rPr>
              <w:t>i.e.,</w:t>
            </w:r>
            <w:r w:rsidRPr="071F5B88">
              <w:rPr>
                <w:rFonts w:eastAsiaTheme="minorEastAsia"/>
                <w:color w:val="000000" w:themeColor="text1"/>
                <w:sz w:val="20"/>
                <w:szCs w:val="20"/>
                <w:lang w:val="en"/>
              </w:rPr>
              <w:t xml:space="preserve"> “consistent with”, “exclusion”)</w:t>
            </w:r>
          </w:p>
          <w:p w14:paraId="0A174439" w14:textId="26F762D7"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Discuss the factors influencing the recovery of DNA from soft and skeletal tissue</w:t>
            </w:r>
          </w:p>
          <w:p w14:paraId="2B7282D8" w14:textId="4167BE02"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List the sampling priority of tissues (blood, muscle, tooth/bone) for DNA testing to obtain appropriate samples for DNA extraction</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27D5F0EA" w14:textId="029118DD"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lastRenderedPageBreak/>
              <w:t>All Analyst Competencies PLUS:</w:t>
            </w:r>
          </w:p>
          <w:p w14:paraId="225ED8DA" w14:textId="738D250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Compare methods for positive/scientific identification versus circumstantial/presumptive identification (e</w:t>
            </w:r>
            <w:r w:rsidR="006D4AC7">
              <w:rPr>
                <w:rFonts w:eastAsiaTheme="minorEastAsia"/>
                <w:color w:val="000000" w:themeColor="text1"/>
                <w:sz w:val="20"/>
                <w:szCs w:val="20"/>
                <w:lang w:val="en"/>
              </w:rPr>
              <w:t>.</w:t>
            </w:r>
            <w:r w:rsidRPr="071F5B88">
              <w:rPr>
                <w:rFonts w:eastAsiaTheme="minorEastAsia"/>
                <w:color w:val="000000" w:themeColor="text1"/>
                <w:sz w:val="20"/>
                <w:szCs w:val="20"/>
                <w:lang w:val="en"/>
              </w:rPr>
              <w:t>g.</w:t>
            </w:r>
            <w:r w:rsidR="006D4AC7">
              <w:rPr>
                <w:rFonts w:eastAsiaTheme="minorEastAsia"/>
                <w:color w:val="000000" w:themeColor="text1"/>
                <w:sz w:val="20"/>
                <w:szCs w:val="20"/>
                <w:lang w:val="en"/>
              </w:rPr>
              <w:t>,</w:t>
            </w:r>
            <w:r w:rsidRPr="071F5B88">
              <w:rPr>
                <w:rFonts w:eastAsiaTheme="minorEastAsia"/>
                <w:color w:val="000000" w:themeColor="text1"/>
                <w:sz w:val="20"/>
                <w:szCs w:val="20"/>
                <w:lang w:val="en"/>
              </w:rPr>
              <w:t xml:space="preserve"> DNA, fingerprint, isotopes, radiographs, facial approximation, medical device implants, etc.)</w:t>
            </w:r>
          </w:p>
          <w:p w14:paraId="47522F8F" w14:textId="402FCD6F"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Discuss special procedures and problems relevant to disaster victim identification (DVI)</w:t>
            </w:r>
          </w:p>
          <w:p w14:paraId="762FE62B" w14:textId="090C55A2"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 xml:space="preserve">Use appropriate skeletal and dental features to support a personal identification </w:t>
            </w:r>
          </w:p>
          <w:p w14:paraId="0E6BD921" w14:textId="4F7CEABD"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Conduct a radiographic comparison for identification and report results following best practices in the discipline</w:t>
            </w:r>
          </w:p>
          <w:p w14:paraId="5B035263" w14:textId="4A914B9D"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 </w:t>
            </w:r>
          </w:p>
        </w:tc>
      </w:tr>
      <w:tr w:rsidR="527CE84D" w14:paraId="738A0503" w14:textId="77777777" w:rsidTr="071F5B88">
        <w:trPr>
          <w:trHeight w:val="5715"/>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4588C7" w14:textId="2BFAAE25" w:rsidR="527CE84D" w:rsidRDefault="527CE84D" w:rsidP="071F5B88">
            <w:pPr>
              <w:rPr>
                <w:rFonts w:eastAsiaTheme="minorEastAsia"/>
                <w:sz w:val="20"/>
                <w:szCs w:val="20"/>
                <w:lang w:val="en"/>
              </w:rPr>
            </w:pPr>
            <w:r w:rsidRPr="071F5B88">
              <w:rPr>
                <w:rFonts w:eastAsiaTheme="minorEastAsia"/>
                <w:sz w:val="20"/>
                <w:szCs w:val="20"/>
                <w:lang w:val="en"/>
              </w:rPr>
              <w:t>Trauma</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A330B" w14:textId="4FF46E5E" w:rsidR="527CE84D" w:rsidRDefault="527CE84D" w:rsidP="071F5B88">
            <w:pPr>
              <w:spacing w:after="120"/>
              <w:rPr>
                <w:rFonts w:eastAsiaTheme="minorEastAsia"/>
                <w:sz w:val="20"/>
                <w:szCs w:val="20"/>
                <w:lang w:val="en"/>
              </w:rPr>
            </w:pPr>
            <w:r w:rsidRPr="071F5B88">
              <w:rPr>
                <w:rFonts w:eastAsiaTheme="minorEastAsia"/>
                <w:sz w:val="20"/>
                <w:szCs w:val="20"/>
                <w:lang w:val="en"/>
              </w:rPr>
              <w:t>Describe classic characteristics of major classes of skeletal trauma</w:t>
            </w:r>
          </w:p>
          <w:p w14:paraId="294753D9" w14:textId="266905B2" w:rsidR="527CE84D" w:rsidRDefault="527CE84D" w:rsidP="071F5B88">
            <w:pPr>
              <w:spacing w:after="120"/>
              <w:rPr>
                <w:rFonts w:eastAsiaTheme="minorEastAsia"/>
                <w:sz w:val="20"/>
                <w:szCs w:val="20"/>
                <w:lang w:val="en"/>
              </w:rPr>
            </w:pPr>
            <w:r w:rsidRPr="071F5B88">
              <w:rPr>
                <w:rFonts w:eastAsiaTheme="minorEastAsia"/>
                <w:sz w:val="20"/>
                <w:szCs w:val="20"/>
                <w:lang w:val="en"/>
              </w:rPr>
              <w:t>Describe characteristics of skeletal trauma timing</w:t>
            </w:r>
          </w:p>
          <w:p w14:paraId="367626E1" w14:textId="7C923246" w:rsidR="527CE84D" w:rsidRDefault="527CE84D" w:rsidP="071F5B88">
            <w:pPr>
              <w:spacing w:after="120"/>
              <w:rPr>
                <w:rFonts w:eastAsiaTheme="minorEastAsia"/>
                <w:sz w:val="20"/>
                <w:szCs w:val="20"/>
                <w:lang w:val="en"/>
              </w:rPr>
            </w:pPr>
            <w:r w:rsidRPr="071F5B88">
              <w:rPr>
                <w:rFonts w:eastAsiaTheme="minorEastAsia"/>
                <w:sz w:val="20"/>
                <w:szCs w:val="20"/>
                <w:lang w:val="en"/>
              </w:rPr>
              <w:t>Recognize typical fracture patterns related to trauma classes</w:t>
            </w:r>
          </w:p>
          <w:p w14:paraId="48C2B12A" w14:textId="2D5811A2" w:rsidR="527CE84D" w:rsidRDefault="527CE84D" w:rsidP="071F5B88">
            <w:pPr>
              <w:spacing w:after="120"/>
              <w:rPr>
                <w:rFonts w:eastAsiaTheme="minorEastAsia"/>
                <w:sz w:val="20"/>
                <w:szCs w:val="20"/>
                <w:lang w:val="en"/>
              </w:rPr>
            </w:pPr>
            <w:r w:rsidRPr="071F5B88">
              <w:rPr>
                <w:rFonts w:eastAsiaTheme="minorEastAsia"/>
                <w:sz w:val="20"/>
                <w:szCs w:val="20"/>
                <w:lang w:val="en"/>
              </w:rPr>
              <w:t>Recognize typical fracture and burn patterns related to thermal alteration</w:t>
            </w:r>
          </w:p>
          <w:p w14:paraId="15E3B206" w14:textId="36609732" w:rsidR="527CE84D" w:rsidRDefault="527CE84D" w:rsidP="071F5B88">
            <w:pPr>
              <w:spacing w:after="120"/>
              <w:rPr>
                <w:rFonts w:eastAsiaTheme="minorEastAsia"/>
                <w:sz w:val="20"/>
                <w:szCs w:val="20"/>
                <w:lang w:val="en"/>
              </w:rPr>
            </w:pPr>
            <w:r w:rsidRPr="071F5B88">
              <w:rPr>
                <w:rFonts w:eastAsiaTheme="minorEastAsia"/>
                <w:sz w:val="20"/>
                <w:szCs w:val="20"/>
                <w:lang w:val="en"/>
              </w:rPr>
              <w:t>Differentiate traumatic changes to bone from normal skeletal variants, taphonomic and pathological changes, including common sources of pseudotrauma</w:t>
            </w:r>
          </w:p>
          <w:p w14:paraId="16981042" w14:textId="7EF28A0D"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24B1B0" w14:textId="3749F7BB"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5678EE2D" w14:textId="1A4BD7C6" w:rsidR="527CE84D" w:rsidRDefault="527CE84D" w:rsidP="071F5B88">
            <w:pPr>
              <w:spacing w:after="120"/>
              <w:rPr>
                <w:rFonts w:eastAsiaTheme="minorEastAsia"/>
                <w:sz w:val="20"/>
                <w:szCs w:val="20"/>
                <w:lang w:val="en"/>
              </w:rPr>
            </w:pPr>
            <w:r w:rsidRPr="071F5B88">
              <w:rPr>
                <w:rFonts w:eastAsiaTheme="minorEastAsia"/>
                <w:sz w:val="20"/>
                <w:szCs w:val="20"/>
                <w:lang w:val="en"/>
              </w:rPr>
              <w:t>Interpret skeletal defects associated with the various trauma types (e.g., blunt, sharp, projectile, blast, thermal), including possible trauma mechanisms (when appropriate)</w:t>
            </w:r>
          </w:p>
          <w:p w14:paraId="3FDFDF1E" w14:textId="180B88E0"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Describe the role of bone biomechanics in skeletal trauma interpretation </w:t>
            </w:r>
          </w:p>
          <w:p w14:paraId="0DF3DA8F" w14:textId="2DDBC24C"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term ‘perimortem’ in bony versus soft tissue injuries</w:t>
            </w:r>
          </w:p>
          <w:p w14:paraId="3D916852" w14:textId="557E33FA" w:rsidR="527CE84D" w:rsidRDefault="527CE84D" w:rsidP="071F5B88">
            <w:pPr>
              <w:spacing w:after="120"/>
              <w:rPr>
                <w:rFonts w:eastAsiaTheme="minorEastAsia"/>
                <w:sz w:val="20"/>
                <w:szCs w:val="20"/>
                <w:lang w:val="en"/>
              </w:rPr>
            </w:pPr>
            <w:r w:rsidRPr="071F5B88">
              <w:rPr>
                <w:rFonts w:eastAsiaTheme="minorEastAsia"/>
                <w:sz w:val="20"/>
                <w:szCs w:val="20"/>
                <w:lang w:val="en"/>
              </w:rPr>
              <w:t>Distinguish accidental vs. non-accidental trauma in pediatric, geriatric, and other vulnerable groups, including their presentation on radiographic images</w:t>
            </w:r>
          </w:p>
          <w:p w14:paraId="114AB278" w14:textId="428DAB1D" w:rsidR="527CE84D" w:rsidRDefault="527CE84D" w:rsidP="071F5B88">
            <w:pPr>
              <w:spacing w:after="120"/>
              <w:rPr>
                <w:rFonts w:eastAsiaTheme="minorEastAsia"/>
                <w:sz w:val="20"/>
                <w:szCs w:val="20"/>
                <w:lang w:val="en"/>
              </w:rPr>
            </w:pPr>
            <w:r w:rsidRPr="071F5B88">
              <w:rPr>
                <w:rFonts w:eastAsiaTheme="minorEastAsia"/>
                <w:sz w:val="20"/>
                <w:szCs w:val="20"/>
                <w:lang w:val="en"/>
              </w:rPr>
              <w:t>Identify the minimum number of traumatic events, minimum number of impacts, sequence of impacts, directionality, and class characteristics of the potential tool based on bony characteristics (when possible)</w:t>
            </w:r>
          </w:p>
          <w:p w14:paraId="3B737B57" w14:textId="06AE4826"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Discuss current and foundational forensic anthropology research on skeletal trauma, including major/impactful conclusions and study limitations (pediatric and adult) </w:t>
            </w:r>
          </w:p>
          <w:p w14:paraId="6C89FBAD" w14:textId="59AD9BCE" w:rsidR="527CE84D" w:rsidRDefault="527CE84D" w:rsidP="071F5B88">
            <w:pPr>
              <w:spacing w:after="120"/>
              <w:rPr>
                <w:rFonts w:eastAsiaTheme="minorEastAsia"/>
                <w:sz w:val="20"/>
                <w:szCs w:val="20"/>
                <w:lang w:val="en"/>
              </w:rPr>
            </w:pPr>
            <w:r w:rsidRPr="071F5B88">
              <w:rPr>
                <w:rFonts w:eastAsiaTheme="minorEastAsia"/>
                <w:sz w:val="20"/>
                <w:szCs w:val="20"/>
                <w:lang w:val="en"/>
              </w:rPr>
              <w:t>Discuss the limitations of skeletal trauma analyses and recognize what interpretations fall outside the scope of the discipline</w:t>
            </w:r>
          </w:p>
        </w:tc>
      </w:tr>
      <w:tr w:rsidR="527CE84D" w14:paraId="638C7AE7" w14:textId="77777777" w:rsidTr="071F5B88">
        <w:trPr>
          <w:trHeight w:val="120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27618089" w14:textId="44D92B96" w:rsidR="527CE84D" w:rsidRDefault="527CE84D" w:rsidP="071F5B88">
            <w:pPr>
              <w:rPr>
                <w:rFonts w:eastAsiaTheme="minorEastAsia"/>
                <w:color w:val="000000" w:themeColor="text1"/>
                <w:sz w:val="20"/>
                <w:szCs w:val="20"/>
                <w:lang w:val="en"/>
              </w:rPr>
            </w:pPr>
            <w:r w:rsidRPr="071F5B88">
              <w:rPr>
                <w:rFonts w:eastAsiaTheme="minorEastAsia"/>
                <w:color w:val="000000" w:themeColor="text1"/>
                <w:sz w:val="20"/>
                <w:szCs w:val="20"/>
                <w:lang w:val="en"/>
              </w:rPr>
              <w:lastRenderedPageBreak/>
              <w:t>Legal Issues, including Expert Testimony &amp; Courtroom Procedures</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642CFF40" w14:textId="13354890"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Summarize landmark court decisions and relevant Federal Rules of Evidence, including how they impact expert witness testimony, evidentiary standards for admissibility, and forensic anthropology practice.</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442E7F29" w14:textId="6ACEA414"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All Analyst Competencies PLUS:</w:t>
            </w:r>
          </w:p>
          <w:p w14:paraId="3343C2FB" w14:textId="4729AE9C"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the role and ethical responsibilities of an expert witness in courtroom proceedings</w:t>
            </w:r>
          </w:p>
        </w:tc>
      </w:tr>
      <w:tr w:rsidR="527CE84D" w14:paraId="29FED274" w14:textId="77777777" w:rsidTr="071F5B88">
        <w:trPr>
          <w:trHeight w:val="318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168AE4" w14:textId="3335A3F6" w:rsidR="527CE84D" w:rsidRDefault="527CE84D" w:rsidP="071F5B88">
            <w:pPr>
              <w:rPr>
                <w:rFonts w:eastAsiaTheme="minorEastAsia"/>
                <w:sz w:val="20"/>
                <w:szCs w:val="20"/>
                <w:lang w:val="en"/>
              </w:rPr>
            </w:pPr>
            <w:r w:rsidRPr="071F5B88">
              <w:rPr>
                <w:rFonts w:eastAsiaTheme="minorEastAsia"/>
                <w:sz w:val="20"/>
                <w:szCs w:val="20"/>
                <w:lang w:val="en"/>
              </w:rPr>
              <w:t>Professional Standards, Laboratory Operations, &amp; Accreditation</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F70A00" w14:textId="2156A1D0" w:rsidR="527CE84D" w:rsidRDefault="527CE84D" w:rsidP="071F5B88">
            <w:pPr>
              <w:spacing w:after="120"/>
              <w:rPr>
                <w:rFonts w:eastAsiaTheme="minorEastAsia"/>
                <w:sz w:val="20"/>
                <w:szCs w:val="20"/>
                <w:lang w:val="en"/>
              </w:rPr>
            </w:pPr>
            <w:r w:rsidRPr="071F5B88">
              <w:rPr>
                <w:rFonts w:eastAsiaTheme="minorEastAsia"/>
                <w:sz w:val="20"/>
                <w:szCs w:val="20"/>
                <w:lang w:val="en"/>
              </w:rPr>
              <w:t>Explain professional standards and guidelines for best practices in Forensic Anthropology, including ANSI/ASB published Standards and Best Practices Recommendations, OSAC-proposed documents.</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E381C" w14:textId="7C0E0D86" w:rsidR="527CE84D" w:rsidRDefault="527CE84D" w:rsidP="071F5B88">
            <w:pPr>
              <w:spacing w:after="120"/>
              <w:rPr>
                <w:rFonts w:eastAsiaTheme="minorEastAsia"/>
                <w:i/>
                <w:iCs/>
                <w:sz w:val="20"/>
                <w:szCs w:val="20"/>
                <w:u w:val="single"/>
                <w:lang w:val="en"/>
              </w:rPr>
            </w:pPr>
            <w:r w:rsidRPr="071F5B88">
              <w:rPr>
                <w:rFonts w:eastAsiaTheme="minorEastAsia"/>
                <w:i/>
                <w:iCs/>
                <w:sz w:val="20"/>
                <w:szCs w:val="20"/>
                <w:u w:val="single"/>
                <w:lang w:val="en"/>
              </w:rPr>
              <w:t>All Analyst Competencies PLUS:</w:t>
            </w:r>
          </w:p>
          <w:p w14:paraId="0CF52EFE" w14:textId="06BC2061" w:rsidR="527CE84D" w:rsidRDefault="527CE84D" w:rsidP="071F5B88">
            <w:pPr>
              <w:spacing w:after="120"/>
              <w:rPr>
                <w:rFonts w:eastAsiaTheme="minorEastAsia"/>
                <w:sz w:val="20"/>
                <w:szCs w:val="20"/>
                <w:lang w:val="en"/>
              </w:rPr>
            </w:pPr>
            <w:r w:rsidRPr="071F5B88">
              <w:rPr>
                <w:rFonts w:eastAsiaTheme="minorEastAsia"/>
                <w:sz w:val="20"/>
                <w:szCs w:val="20"/>
                <w:lang w:val="en"/>
              </w:rPr>
              <w:t xml:space="preserve">Discuss health, safety, and evidence handling relevant to managing a forensic anthropology laboratory. </w:t>
            </w:r>
          </w:p>
          <w:p w14:paraId="101AC2E4" w14:textId="6DED42C5" w:rsidR="527CE84D" w:rsidRDefault="527CE84D" w:rsidP="071F5B88">
            <w:pPr>
              <w:spacing w:after="120"/>
              <w:rPr>
                <w:rFonts w:eastAsiaTheme="minorEastAsia"/>
                <w:sz w:val="20"/>
                <w:szCs w:val="20"/>
                <w:lang w:val="en"/>
              </w:rPr>
            </w:pPr>
            <w:r w:rsidRPr="071F5B88">
              <w:rPr>
                <w:rFonts w:eastAsiaTheme="minorEastAsia"/>
                <w:sz w:val="20"/>
                <w:szCs w:val="20"/>
                <w:lang w:val="en"/>
              </w:rPr>
              <w:t>Differentiate certification and accreditation as they pertain to the practice of forensic anthropology</w:t>
            </w:r>
          </w:p>
          <w:p w14:paraId="083A4736" w14:textId="38AAE55B" w:rsidR="527CE84D" w:rsidRDefault="527CE84D" w:rsidP="071F5B88">
            <w:pPr>
              <w:spacing w:after="120"/>
              <w:rPr>
                <w:rFonts w:eastAsiaTheme="minorEastAsia"/>
                <w:sz w:val="20"/>
                <w:szCs w:val="20"/>
                <w:lang w:val="en"/>
              </w:rPr>
            </w:pPr>
            <w:r w:rsidRPr="071F5B88">
              <w:rPr>
                <w:rFonts w:eastAsiaTheme="minorEastAsia"/>
                <w:sz w:val="20"/>
                <w:szCs w:val="20"/>
                <w:lang w:val="en"/>
              </w:rPr>
              <w:t>Explain the potential effects of bias (e.g., cognitive, contextual) and error on forensic analyses and interpretations and how lab procedures can help mitigate such biases</w:t>
            </w:r>
          </w:p>
          <w:p w14:paraId="29F5E050" w14:textId="1CF4D7B4" w:rsidR="527CE84D" w:rsidRDefault="527CE84D" w:rsidP="071F5B88">
            <w:pPr>
              <w:spacing w:after="120"/>
              <w:rPr>
                <w:rFonts w:eastAsiaTheme="minorEastAsia"/>
                <w:sz w:val="20"/>
                <w:szCs w:val="20"/>
                <w:lang w:val="en"/>
              </w:rPr>
            </w:pPr>
            <w:r w:rsidRPr="071F5B88">
              <w:rPr>
                <w:rFonts w:eastAsiaTheme="minorEastAsia"/>
                <w:sz w:val="20"/>
                <w:szCs w:val="20"/>
                <w:lang w:val="en"/>
              </w:rPr>
              <w:t>Explain standards as relevant to accreditation and practice (e.g., ISO, OSAC/ASB)</w:t>
            </w:r>
          </w:p>
        </w:tc>
      </w:tr>
      <w:tr w:rsidR="527CE84D" w14:paraId="0FF86B8B" w14:textId="77777777" w:rsidTr="071F5B88">
        <w:trPr>
          <w:trHeight w:val="2430"/>
        </w:trPr>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1E5A6005" w14:textId="5163EA48" w:rsidR="527CE84D" w:rsidRDefault="527CE84D" w:rsidP="071F5B88">
            <w:pPr>
              <w:rPr>
                <w:rFonts w:eastAsiaTheme="minorEastAsia"/>
                <w:color w:val="000000" w:themeColor="text1"/>
                <w:sz w:val="20"/>
                <w:szCs w:val="20"/>
                <w:lang w:val="en"/>
              </w:rPr>
            </w:pPr>
            <w:r w:rsidRPr="071F5B88">
              <w:rPr>
                <w:rFonts w:eastAsiaTheme="minorEastAsia"/>
                <w:color w:val="000000" w:themeColor="text1"/>
                <w:sz w:val="20"/>
                <w:szCs w:val="20"/>
                <w:lang w:val="en"/>
              </w:rPr>
              <w:t>Ethics</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32107310" w14:textId="2ACEB208"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how to handle human remains according to ethical standards/protocols</w:t>
            </w:r>
          </w:p>
          <w:p w14:paraId="703CE574" w14:textId="798DC574"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Describe actions that demonstrate respect for decedent and family privacy and confidentiality</w:t>
            </w:r>
          </w:p>
          <w:p w14:paraId="70C6159E" w14:textId="2033BD1D"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Navigate simple ethical questions (appropriate use of photos, HIPAA, ABFA Code of Ethics)</w:t>
            </w:r>
          </w:p>
          <w:p w14:paraId="3A42C366" w14:textId="0E24377B" w:rsidR="527CE84D" w:rsidRDefault="527CE84D" w:rsidP="071F5B88">
            <w:pPr>
              <w:spacing w:after="60"/>
              <w:rPr>
                <w:rFonts w:eastAsiaTheme="minorEastAsia"/>
                <w:color w:val="000000" w:themeColor="text1"/>
                <w:sz w:val="20"/>
                <w:szCs w:val="20"/>
                <w:lang w:val="en"/>
              </w:rPr>
            </w:pPr>
            <w:r w:rsidRPr="071F5B88">
              <w:rPr>
                <w:rFonts w:eastAsiaTheme="minorEastAsia"/>
                <w:color w:val="000000" w:themeColor="text1"/>
                <w:sz w:val="20"/>
                <w:szCs w:val="20"/>
                <w:lang w:val="en"/>
              </w:rPr>
              <w:t>Demonstrate an understanding of the ABFA Code of Ethics and Conduct</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0E32EBB9" w14:textId="7E3B34F3" w:rsidR="527CE84D" w:rsidRDefault="527CE84D" w:rsidP="071F5B88">
            <w:pPr>
              <w:spacing w:after="120"/>
              <w:rPr>
                <w:rFonts w:eastAsiaTheme="minorEastAsia"/>
                <w:i/>
                <w:iCs/>
                <w:color w:val="000000" w:themeColor="text1"/>
                <w:sz w:val="20"/>
                <w:szCs w:val="20"/>
                <w:u w:val="single"/>
                <w:lang w:val="en"/>
              </w:rPr>
            </w:pPr>
            <w:r w:rsidRPr="071F5B88">
              <w:rPr>
                <w:rFonts w:eastAsiaTheme="minorEastAsia"/>
                <w:i/>
                <w:iCs/>
                <w:color w:val="000000" w:themeColor="text1"/>
                <w:sz w:val="20"/>
                <w:szCs w:val="20"/>
                <w:u w:val="single"/>
                <w:lang w:val="en"/>
              </w:rPr>
              <w:t>All Analyst Competencies PLUS:</w:t>
            </w:r>
          </w:p>
          <w:p w14:paraId="745D94D3" w14:textId="0DA5C081" w:rsidR="527CE84D" w:rsidRDefault="527CE84D" w:rsidP="071F5B88">
            <w:pPr>
              <w:spacing w:after="120"/>
              <w:rPr>
                <w:rFonts w:eastAsiaTheme="minorEastAsia"/>
                <w:color w:val="000000" w:themeColor="text1"/>
                <w:sz w:val="20"/>
                <w:szCs w:val="20"/>
                <w:lang w:val="en"/>
              </w:rPr>
            </w:pPr>
            <w:r w:rsidRPr="071F5B88">
              <w:rPr>
                <w:rFonts w:eastAsiaTheme="minorEastAsia"/>
                <w:color w:val="000000" w:themeColor="text1"/>
                <w:sz w:val="20"/>
                <w:szCs w:val="20"/>
                <w:lang w:val="en"/>
              </w:rPr>
              <w:t>Demonstrate an understanding of ethical principles pertaining to confidentiality, informed consent, and business, research, and professional practices, including compliance with relevant laws, policies, and regulations</w:t>
            </w:r>
          </w:p>
        </w:tc>
      </w:tr>
    </w:tbl>
    <w:p w14:paraId="2BD90E77" w14:textId="1788B64E" w:rsidR="00EB2AE4" w:rsidRDefault="00EB2AE4" w:rsidP="527CE84D"/>
    <w:p w14:paraId="31382E7B" w14:textId="6049D3BC" w:rsidR="2CAE25A9" w:rsidRPr="00B37B38" w:rsidRDefault="2CAE25A9" w:rsidP="2CAE25A9"/>
    <w:sectPr w:rsidR="2CAE25A9" w:rsidRPr="00B37B38" w:rsidSect="000115C5">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1A7A" w14:textId="77777777" w:rsidR="004D0017" w:rsidRDefault="004D0017" w:rsidP="000115C5">
      <w:r>
        <w:separator/>
      </w:r>
    </w:p>
  </w:endnote>
  <w:endnote w:type="continuationSeparator" w:id="0">
    <w:p w14:paraId="19614A7E" w14:textId="77777777" w:rsidR="004D0017" w:rsidRDefault="004D0017" w:rsidP="000115C5">
      <w:r>
        <w:continuationSeparator/>
      </w:r>
    </w:p>
  </w:endnote>
  <w:endnote w:type="continuationNotice" w:id="1">
    <w:p w14:paraId="1EDA8B18" w14:textId="77777777" w:rsidR="004D0017" w:rsidRDefault="004D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F9D0" w14:textId="77777777" w:rsidR="004D0017" w:rsidRDefault="004D0017" w:rsidP="000115C5">
      <w:r>
        <w:separator/>
      </w:r>
    </w:p>
  </w:footnote>
  <w:footnote w:type="continuationSeparator" w:id="0">
    <w:p w14:paraId="277AA9ED" w14:textId="77777777" w:rsidR="004D0017" w:rsidRDefault="004D0017" w:rsidP="000115C5">
      <w:r>
        <w:continuationSeparator/>
      </w:r>
    </w:p>
  </w:footnote>
  <w:footnote w:type="continuationNotice" w:id="1">
    <w:p w14:paraId="4DC40CF2" w14:textId="77777777" w:rsidR="004D0017" w:rsidRDefault="004D0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6B4A" w14:textId="77777777" w:rsidR="000115C5" w:rsidRDefault="000115C5">
    <w:pPr>
      <w:pStyle w:val="Header"/>
    </w:pPr>
  </w:p>
  <w:p w14:paraId="35D35161" w14:textId="77777777" w:rsidR="000115C5" w:rsidRDefault="000115C5">
    <w:pPr>
      <w:pStyle w:val="Header"/>
    </w:pPr>
  </w:p>
  <w:p w14:paraId="7F7B8452" w14:textId="77777777" w:rsidR="000115C5" w:rsidRDefault="000115C5">
    <w:pPr>
      <w:pStyle w:val="Header"/>
    </w:pPr>
  </w:p>
  <w:p w14:paraId="7673A45D" w14:textId="77777777" w:rsidR="000115C5" w:rsidRDefault="000115C5">
    <w:pPr>
      <w:pStyle w:val="Header"/>
    </w:pPr>
  </w:p>
</w:hdr>
</file>

<file path=word/intelligence2.xml><?xml version="1.0" encoding="utf-8"?>
<int2:intelligence xmlns:int2="http://schemas.microsoft.com/office/intelligence/2020/intelligence" xmlns:oel="http://schemas.microsoft.com/office/2019/extlst">
  <int2:observations>
    <int2:textHash int2:hashCode="v/KN1+91NxBWw3" int2:id="4NvksvH0">
      <int2:state int2:value="Rejected" int2:type="AugLoop_Text_Critique"/>
    </int2:textHash>
    <int2:textHash int2:hashCode="Z00/VYKCFZsg8y" int2:id="8TVPdgF2">
      <int2:state int2:value="Rejected" int2:type="AugLoop_Text_Critique"/>
    </int2:textHash>
    <int2:textHash int2:hashCode="SdwvkaObeS0JHa" int2:id="E1ML8P2E">
      <int2:state int2:value="Rejected" int2:type="AugLoop_Text_Critique"/>
    </int2:textHash>
    <int2:textHash int2:hashCode="SDHdDifWygig7m" int2:id="rgAHObLX">
      <int2:state int2:value="Rejected" int2:type="AugLoop_Text_Critique"/>
    </int2:textHash>
    <int2:textHash int2:hashCode="pIs1K9MK6/oLSf" int2:id="wl0uuy9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0F"/>
    <w:multiLevelType w:val="hybridMultilevel"/>
    <w:tmpl w:val="EFD8ED50"/>
    <w:lvl w:ilvl="0" w:tplc="C674F902">
      <w:start w:val="1"/>
      <w:numFmt w:val="bullet"/>
      <w:lvlText w:val=""/>
      <w:lvlJc w:val="left"/>
      <w:pPr>
        <w:ind w:left="1080" w:hanging="360"/>
      </w:pPr>
      <w:rPr>
        <w:rFonts w:ascii="Symbol" w:hAnsi="Symbol" w:hint="default"/>
      </w:rPr>
    </w:lvl>
    <w:lvl w:ilvl="1" w:tplc="6D8E4DCA" w:tentative="1">
      <w:start w:val="1"/>
      <w:numFmt w:val="bullet"/>
      <w:lvlText w:val="o"/>
      <w:lvlJc w:val="left"/>
      <w:pPr>
        <w:ind w:left="1800" w:hanging="360"/>
      </w:pPr>
      <w:rPr>
        <w:rFonts w:ascii="Courier New" w:hAnsi="Courier New" w:hint="default"/>
      </w:rPr>
    </w:lvl>
    <w:lvl w:ilvl="2" w:tplc="C8E0E408" w:tentative="1">
      <w:start w:val="1"/>
      <w:numFmt w:val="bullet"/>
      <w:lvlText w:val=""/>
      <w:lvlJc w:val="left"/>
      <w:pPr>
        <w:ind w:left="2520" w:hanging="360"/>
      </w:pPr>
      <w:rPr>
        <w:rFonts w:ascii="Wingdings" w:hAnsi="Wingdings" w:hint="default"/>
      </w:rPr>
    </w:lvl>
    <w:lvl w:ilvl="3" w:tplc="BCB05E0C" w:tentative="1">
      <w:start w:val="1"/>
      <w:numFmt w:val="bullet"/>
      <w:lvlText w:val=""/>
      <w:lvlJc w:val="left"/>
      <w:pPr>
        <w:ind w:left="3240" w:hanging="360"/>
      </w:pPr>
      <w:rPr>
        <w:rFonts w:ascii="Symbol" w:hAnsi="Symbol" w:hint="default"/>
      </w:rPr>
    </w:lvl>
    <w:lvl w:ilvl="4" w:tplc="4F62C01A" w:tentative="1">
      <w:start w:val="1"/>
      <w:numFmt w:val="bullet"/>
      <w:lvlText w:val="o"/>
      <w:lvlJc w:val="left"/>
      <w:pPr>
        <w:ind w:left="3960" w:hanging="360"/>
      </w:pPr>
      <w:rPr>
        <w:rFonts w:ascii="Courier New" w:hAnsi="Courier New" w:hint="default"/>
      </w:rPr>
    </w:lvl>
    <w:lvl w:ilvl="5" w:tplc="23E0CE5C" w:tentative="1">
      <w:start w:val="1"/>
      <w:numFmt w:val="bullet"/>
      <w:lvlText w:val=""/>
      <w:lvlJc w:val="left"/>
      <w:pPr>
        <w:ind w:left="4680" w:hanging="360"/>
      </w:pPr>
      <w:rPr>
        <w:rFonts w:ascii="Wingdings" w:hAnsi="Wingdings" w:hint="default"/>
      </w:rPr>
    </w:lvl>
    <w:lvl w:ilvl="6" w:tplc="42EE1BBC" w:tentative="1">
      <w:start w:val="1"/>
      <w:numFmt w:val="bullet"/>
      <w:lvlText w:val=""/>
      <w:lvlJc w:val="left"/>
      <w:pPr>
        <w:ind w:left="5400" w:hanging="360"/>
      </w:pPr>
      <w:rPr>
        <w:rFonts w:ascii="Symbol" w:hAnsi="Symbol" w:hint="default"/>
      </w:rPr>
    </w:lvl>
    <w:lvl w:ilvl="7" w:tplc="79005166" w:tentative="1">
      <w:start w:val="1"/>
      <w:numFmt w:val="bullet"/>
      <w:lvlText w:val="o"/>
      <w:lvlJc w:val="left"/>
      <w:pPr>
        <w:ind w:left="6120" w:hanging="360"/>
      </w:pPr>
      <w:rPr>
        <w:rFonts w:ascii="Courier New" w:hAnsi="Courier New" w:hint="default"/>
      </w:rPr>
    </w:lvl>
    <w:lvl w:ilvl="8" w:tplc="094042A0" w:tentative="1">
      <w:start w:val="1"/>
      <w:numFmt w:val="bullet"/>
      <w:lvlText w:val=""/>
      <w:lvlJc w:val="left"/>
      <w:pPr>
        <w:ind w:left="6840" w:hanging="360"/>
      </w:pPr>
      <w:rPr>
        <w:rFonts w:ascii="Wingdings" w:hAnsi="Wingdings" w:hint="default"/>
      </w:rPr>
    </w:lvl>
  </w:abstractNum>
  <w:abstractNum w:abstractNumId="1" w15:restartNumberingAfterBreak="0">
    <w:nsid w:val="12316632"/>
    <w:multiLevelType w:val="hybridMultilevel"/>
    <w:tmpl w:val="FFFFFFFF"/>
    <w:lvl w:ilvl="0" w:tplc="3B127D66">
      <w:start w:val="1"/>
      <w:numFmt w:val="decimal"/>
      <w:lvlText w:val="%1."/>
      <w:lvlJc w:val="left"/>
      <w:pPr>
        <w:ind w:left="720" w:hanging="360"/>
      </w:pPr>
    </w:lvl>
    <w:lvl w:ilvl="1" w:tplc="578ACBB4">
      <w:start w:val="1"/>
      <w:numFmt w:val="lowerLetter"/>
      <w:lvlText w:val="%2."/>
      <w:lvlJc w:val="left"/>
      <w:pPr>
        <w:ind w:left="1440" w:hanging="360"/>
      </w:pPr>
    </w:lvl>
    <w:lvl w:ilvl="2" w:tplc="44FAADA4">
      <w:start w:val="1"/>
      <w:numFmt w:val="lowerRoman"/>
      <w:lvlText w:val="%3."/>
      <w:lvlJc w:val="right"/>
      <w:pPr>
        <w:ind w:left="2160" w:hanging="180"/>
      </w:pPr>
    </w:lvl>
    <w:lvl w:ilvl="3" w:tplc="1EDE9428">
      <w:start w:val="1"/>
      <w:numFmt w:val="decimal"/>
      <w:lvlText w:val="%4."/>
      <w:lvlJc w:val="left"/>
      <w:pPr>
        <w:ind w:left="2880" w:hanging="360"/>
      </w:pPr>
    </w:lvl>
    <w:lvl w:ilvl="4" w:tplc="5B3220F8">
      <w:start w:val="1"/>
      <w:numFmt w:val="lowerLetter"/>
      <w:lvlText w:val="%5."/>
      <w:lvlJc w:val="left"/>
      <w:pPr>
        <w:ind w:left="3600" w:hanging="360"/>
      </w:pPr>
    </w:lvl>
    <w:lvl w:ilvl="5" w:tplc="1AE42370">
      <w:start w:val="1"/>
      <w:numFmt w:val="lowerRoman"/>
      <w:lvlText w:val="%6."/>
      <w:lvlJc w:val="right"/>
      <w:pPr>
        <w:ind w:left="4320" w:hanging="180"/>
      </w:pPr>
    </w:lvl>
    <w:lvl w:ilvl="6" w:tplc="F522AA10">
      <w:start w:val="1"/>
      <w:numFmt w:val="decimal"/>
      <w:lvlText w:val="%7."/>
      <w:lvlJc w:val="left"/>
      <w:pPr>
        <w:ind w:left="5040" w:hanging="360"/>
      </w:pPr>
    </w:lvl>
    <w:lvl w:ilvl="7" w:tplc="93F49B5E">
      <w:start w:val="1"/>
      <w:numFmt w:val="lowerLetter"/>
      <w:lvlText w:val="%8."/>
      <w:lvlJc w:val="left"/>
      <w:pPr>
        <w:ind w:left="5760" w:hanging="360"/>
      </w:pPr>
    </w:lvl>
    <w:lvl w:ilvl="8" w:tplc="0980D6F8">
      <w:start w:val="1"/>
      <w:numFmt w:val="lowerRoman"/>
      <w:lvlText w:val="%9."/>
      <w:lvlJc w:val="right"/>
      <w:pPr>
        <w:ind w:left="6480" w:hanging="180"/>
      </w:pPr>
    </w:lvl>
  </w:abstractNum>
  <w:abstractNum w:abstractNumId="2" w15:restartNumberingAfterBreak="0">
    <w:nsid w:val="23C73097"/>
    <w:multiLevelType w:val="hybridMultilevel"/>
    <w:tmpl w:val="FFFFFFFF"/>
    <w:lvl w:ilvl="0" w:tplc="0908E9B0">
      <w:start w:val="1"/>
      <w:numFmt w:val="decimal"/>
      <w:lvlText w:val="%1."/>
      <w:lvlJc w:val="left"/>
      <w:pPr>
        <w:ind w:left="720" w:hanging="360"/>
      </w:pPr>
    </w:lvl>
    <w:lvl w:ilvl="1" w:tplc="A89050AC">
      <w:start w:val="1"/>
      <w:numFmt w:val="lowerLetter"/>
      <w:lvlText w:val="%2."/>
      <w:lvlJc w:val="left"/>
      <w:pPr>
        <w:ind w:left="1440" w:hanging="360"/>
      </w:pPr>
    </w:lvl>
    <w:lvl w:ilvl="2" w:tplc="365CDFB4">
      <w:start w:val="1"/>
      <w:numFmt w:val="lowerRoman"/>
      <w:lvlText w:val="%3."/>
      <w:lvlJc w:val="right"/>
      <w:pPr>
        <w:ind w:left="2160" w:hanging="180"/>
      </w:pPr>
    </w:lvl>
    <w:lvl w:ilvl="3" w:tplc="C09237D4">
      <w:start w:val="1"/>
      <w:numFmt w:val="decimal"/>
      <w:lvlText w:val="%4."/>
      <w:lvlJc w:val="left"/>
      <w:pPr>
        <w:ind w:left="2880" w:hanging="360"/>
      </w:pPr>
    </w:lvl>
    <w:lvl w:ilvl="4" w:tplc="383E0EE2">
      <w:start w:val="1"/>
      <w:numFmt w:val="lowerLetter"/>
      <w:lvlText w:val="%5."/>
      <w:lvlJc w:val="left"/>
      <w:pPr>
        <w:ind w:left="3600" w:hanging="360"/>
      </w:pPr>
    </w:lvl>
    <w:lvl w:ilvl="5" w:tplc="5F5CB2D2">
      <w:start w:val="1"/>
      <w:numFmt w:val="lowerRoman"/>
      <w:lvlText w:val="%6."/>
      <w:lvlJc w:val="right"/>
      <w:pPr>
        <w:ind w:left="4320" w:hanging="180"/>
      </w:pPr>
    </w:lvl>
    <w:lvl w:ilvl="6" w:tplc="90547C9E">
      <w:start w:val="1"/>
      <w:numFmt w:val="decimal"/>
      <w:lvlText w:val="%7."/>
      <w:lvlJc w:val="left"/>
      <w:pPr>
        <w:ind w:left="5040" w:hanging="360"/>
      </w:pPr>
    </w:lvl>
    <w:lvl w:ilvl="7" w:tplc="38848AFA">
      <w:start w:val="1"/>
      <w:numFmt w:val="lowerLetter"/>
      <w:lvlText w:val="%8."/>
      <w:lvlJc w:val="left"/>
      <w:pPr>
        <w:ind w:left="5760" w:hanging="360"/>
      </w:pPr>
    </w:lvl>
    <w:lvl w:ilvl="8" w:tplc="006A20D6">
      <w:start w:val="1"/>
      <w:numFmt w:val="lowerRoman"/>
      <w:lvlText w:val="%9."/>
      <w:lvlJc w:val="right"/>
      <w:pPr>
        <w:ind w:left="6480" w:hanging="180"/>
      </w:pPr>
    </w:lvl>
  </w:abstractNum>
  <w:abstractNum w:abstractNumId="3" w15:restartNumberingAfterBreak="0">
    <w:nsid w:val="2A18C766"/>
    <w:multiLevelType w:val="hybridMultilevel"/>
    <w:tmpl w:val="FFFFFFFF"/>
    <w:lvl w:ilvl="0" w:tplc="09E88EDA">
      <w:start w:val="1"/>
      <w:numFmt w:val="decimal"/>
      <w:lvlText w:val="%1."/>
      <w:lvlJc w:val="left"/>
      <w:pPr>
        <w:ind w:left="720" w:hanging="360"/>
      </w:pPr>
    </w:lvl>
    <w:lvl w:ilvl="1" w:tplc="ED9C22FE">
      <w:start w:val="1"/>
      <w:numFmt w:val="lowerLetter"/>
      <w:lvlText w:val="%2."/>
      <w:lvlJc w:val="left"/>
      <w:pPr>
        <w:ind w:left="1440" w:hanging="360"/>
      </w:pPr>
    </w:lvl>
    <w:lvl w:ilvl="2" w:tplc="F0C2C18C">
      <w:start w:val="1"/>
      <w:numFmt w:val="lowerRoman"/>
      <w:lvlText w:val="%3."/>
      <w:lvlJc w:val="right"/>
      <w:pPr>
        <w:ind w:left="2160" w:hanging="180"/>
      </w:pPr>
    </w:lvl>
    <w:lvl w:ilvl="3" w:tplc="AA702942">
      <w:start w:val="1"/>
      <w:numFmt w:val="decimal"/>
      <w:lvlText w:val="%4."/>
      <w:lvlJc w:val="left"/>
      <w:pPr>
        <w:ind w:left="2880" w:hanging="360"/>
      </w:pPr>
    </w:lvl>
    <w:lvl w:ilvl="4" w:tplc="57C6B546">
      <w:start w:val="1"/>
      <w:numFmt w:val="lowerLetter"/>
      <w:lvlText w:val="%5."/>
      <w:lvlJc w:val="left"/>
      <w:pPr>
        <w:ind w:left="3600" w:hanging="360"/>
      </w:pPr>
    </w:lvl>
    <w:lvl w:ilvl="5" w:tplc="DDD6119E">
      <w:start w:val="1"/>
      <w:numFmt w:val="lowerRoman"/>
      <w:lvlText w:val="%6."/>
      <w:lvlJc w:val="right"/>
      <w:pPr>
        <w:ind w:left="4320" w:hanging="180"/>
      </w:pPr>
    </w:lvl>
    <w:lvl w:ilvl="6" w:tplc="5F246258">
      <w:start w:val="1"/>
      <w:numFmt w:val="decimal"/>
      <w:lvlText w:val="%7."/>
      <w:lvlJc w:val="left"/>
      <w:pPr>
        <w:ind w:left="5040" w:hanging="360"/>
      </w:pPr>
    </w:lvl>
    <w:lvl w:ilvl="7" w:tplc="36945E1E">
      <w:start w:val="1"/>
      <w:numFmt w:val="lowerLetter"/>
      <w:lvlText w:val="%8."/>
      <w:lvlJc w:val="left"/>
      <w:pPr>
        <w:ind w:left="5760" w:hanging="360"/>
      </w:pPr>
    </w:lvl>
    <w:lvl w:ilvl="8" w:tplc="02C4526A">
      <w:start w:val="1"/>
      <w:numFmt w:val="lowerRoman"/>
      <w:lvlText w:val="%9."/>
      <w:lvlJc w:val="right"/>
      <w:pPr>
        <w:ind w:left="6480" w:hanging="180"/>
      </w:pPr>
    </w:lvl>
  </w:abstractNum>
  <w:abstractNum w:abstractNumId="4" w15:restartNumberingAfterBreak="0">
    <w:nsid w:val="2EA70866"/>
    <w:multiLevelType w:val="hybridMultilevel"/>
    <w:tmpl w:val="AA306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BF4940"/>
    <w:multiLevelType w:val="hybridMultilevel"/>
    <w:tmpl w:val="FFFFFFFF"/>
    <w:lvl w:ilvl="0" w:tplc="B038FC04">
      <w:start w:val="1"/>
      <w:numFmt w:val="bullet"/>
      <w:lvlText w:val=""/>
      <w:lvlJc w:val="left"/>
      <w:pPr>
        <w:ind w:left="1080" w:hanging="360"/>
      </w:pPr>
      <w:rPr>
        <w:rFonts w:ascii="Symbol" w:hAnsi="Symbol" w:hint="default"/>
      </w:rPr>
    </w:lvl>
    <w:lvl w:ilvl="1" w:tplc="C2A829D0">
      <w:start w:val="1"/>
      <w:numFmt w:val="bullet"/>
      <w:lvlText w:val="o"/>
      <w:lvlJc w:val="left"/>
      <w:pPr>
        <w:ind w:left="1800" w:hanging="360"/>
      </w:pPr>
      <w:rPr>
        <w:rFonts w:ascii="Courier New" w:hAnsi="Courier New" w:hint="default"/>
      </w:rPr>
    </w:lvl>
    <w:lvl w:ilvl="2" w:tplc="97761848">
      <w:start w:val="1"/>
      <w:numFmt w:val="bullet"/>
      <w:lvlText w:val=""/>
      <w:lvlJc w:val="left"/>
      <w:pPr>
        <w:ind w:left="2520" w:hanging="360"/>
      </w:pPr>
      <w:rPr>
        <w:rFonts w:ascii="Wingdings" w:hAnsi="Wingdings" w:hint="default"/>
      </w:rPr>
    </w:lvl>
    <w:lvl w:ilvl="3" w:tplc="058E9952">
      <w:start w:val="1"/>
      <w:numFmt w:val="bullet"/>
      <w:lvlText w:val=""/>
      <w:lvlJc w:val="left"/>
      <w:pPr>
        <w:ind w:left="3240" w:hanging="360"/>
      </w:pPr>
      <w:rPr>
        <w:rFonts w:ascii="Symbol" w:hAnsi="Symbol" w:hint="default"/>
      </w:rPr>
    </w:lvl>
    <w:lvl w:ilvl="4" w:tplc="797AE01C">
      <w:start w:val="1"/>
      <w:numFmt w:val="bullet"/>
      <w:lvlText w:val="o"/>
      <w:lvlJc w:val="left"/>
      <w:pPr>
        <w:ind w:left="3960" w:hanging="360"/>
      </w:pPr>
      <w:rPr>
        <w:rFonts w:ascii="Courier New" w:hAnsi="Courier New" w:hint="default"/>
      </w:rPr>
    </w:lvl>
    <w:lvl w:ilvl="5" w:tplc="23CC9C86">
      <w:start w:val="1"/>
      <w:numFmt w:val="bullet"/>
      <w:lvlText w:val=""/>
      <w:lvlJc w:val="left"/>
      <w:pPr>
        <w:ind w:left="4680" w:hanging="360"/>
      </w:pPr>
      <w:rPr>
        <w:rFonts w:ascii="Wingdings" w:hAnsi="Wingdings" w:hint="default"/>
      </w:rPr>
    </w:lvl>
    <w:lvl w:ilvl="6" w:tplc="3D4023DC">
      <w:start w:val="1"/>
      <w:numFmt w:val="bullet"/>
      <w:lvlText w:val=""/>
      <w:lvlJc w:val="left"/>
      <w:pPr>
        <w:ind w:left="5400" w:hanging="360"/>
      </w:pPr>
      <w:rPr>
        <w:rFonts w:ascii="Symbol" w:hAnsi="Symbol" w:hint="default"/>
      </w:rPr>
    </w:lvl>
    <w:lvl w:ilvl="7" w:tplc="F7261876">
      <w:start w:val="1"/>
      <w:numFmt w:val="bullet"/>
      <w:lvlText w:val="o"/>
      <w:lvlJc w:val="left"/>
      <w:pPr>
        <w:ind w:left="6120" w:hanging="360"/>
      </w:pPr>
      <w:rPr>
        <w:rFonts w:ascii="Courier New" w:hAnsi="Courier New" w:hint="default"/>
      </w:rPr>
    </w:lvl>
    <w:lvl w:ilvl="8" w:tplc="C5F288CE">
      <w:start w:val="1"/>
      <w:numFmt w:val="bullet"/>
      <w:lvlText w:val=""/>
      <w:lvlJc w:val="left"/>
      <w:pPr>
        <w:ind w:left="6840" w:hanging="360"/>
      </w:pPr>
      <w:rPr>
        <w:rFonts w:ascii="Wingdings" w:hAnsi="Wingdings" w:hint="default"/>
      </w:rPr>
    </w:lvl>
  </w:abstractNum>
  <w:abstractNum w:abstractNumId="6" w15:restartNumberingAfterBreak="0">
    <w:nsid w:val="36E36A4C"/>
    <w:multiLevelType w:val="hybridMultilevel"/>
    <w:tmpl w:val="70C6D8A0"/>
    <w:lvl w:ilvl="0" w:tplc="2C9A8C56">
      <w:start w:val="1"/>
      <w:numFmt w:val="bullet"/>
      <w:lvlText w:val="•"/>
      <w:lvlJc w:val="left"/>
      <w:pPr>
        <w:tabs>
          <w:tab w:val="num" w:pos="720"/>
        </w:tabs>
        <w:ind w:left="720" w:hanging="360"/>
      </w:pPr>
      <w:rPr>
        <w:rFonts w:ascii="Arial" w:hAnsi="Arial" w:hint="default"/>
      </w:rPr>
    </w:lvl>
    <w:lvl w:ilvl="1" w:tplc="569039F8">
      <w:numFmt w:val="bullet"/>
      <w:lvlText w:val="•"/>
      <w:lvlJc w:val="left"/>
      <w:pPr>
        <w:tabs>
          <w:tab w:val="num" w:pos="1440"/>
        </w:tabs>
        <w:ind w:left="1440" w:hanging="360"/>
      </w:pPr>
      <w:rPr>
        <w:rFonts w:ascii="Arial" w:hAnsi="Arial" w:hint="default"/>
      </w:rPr>
    </w:lvl>
    <w:lvl w:ilvl="2" w:tplc="556EDA5E">
      <w:numFmt w:val="bullet"/>
      <w:lvlText w:val="•"/>
      <w:lvlJc w:val="left"/>
      <w:pPr>
        <w:tabs>
          <w:tab w:val="num" w:pos="2160"/>
        </w:tabs>
        <w:ind w:left="2160" w:hanging="360"/>
      </w:pPr>
      <w:rPr>
        <w:rFonts w:ascii="Arial" w:hAnsi="Arial" w:hint="default"/>
      </w:rPr>
    </w:lvl>
    <w:lvl w:ilvl="3" w:tplc="DE28646A" w:tentative="1">
      <w:start w:val="1"/>
      <w:numFmt w:val="bullet"/>
      <w:lvlText w:val="•"/>
      <w:lvlJc w:val="left"/>
      <w:pPr>
        <w:tabs>
          <w:tab w:val="num" w:pos="2880"/>
        </w:tabs>
        <w:ind w:left="2880" w:hanging="360"/>
      </w:pPr>
      <w:rPr>
        <w:rFonts w:ascii="Arial" w:hAnsi="Arial" w:hint="default"/>
      </w:rPr>
    </w:lvl>
    <w:lvl w:ilvl="4" w:tplc="D1E61BA0" w:tentative="1">
      <w:start w:val="1"/>
      <w:numFmt w:val="bullet"/>
      <w:lvlText w:val="•"/>
      <w:lvlJc w:val="left"/>
      <w:pPr>
        <w:tabs>
          <w:tab w:val="num" w:pos="3600"/>
        </w:tabs>
        <w:ind w:left="3600" w:hanging="360"/>
      </w:pPr>
      <w:rPr>
        <w:rFonts w:ascii="Arial" w:hAnsi="Arial" w:hint="default"/>
      </w:rPr>
    </w:lvl>
    <w:lvl w:ilvl="5" w:tplc="3392DDC8" w:tentative="1">
      <w:start w:val="1"/>
      <w:numFmt w:val="bullet"/>
      <w:lvlText w:val="•"/>
      <w:lvlJc w:val="left"/>
      <w:pPr>
        <w:tabs>
          <w:tab w:val="num" w:pos="4320"/>
        </w:tabs>
        <w:ind w:left="4320" w:hanging="360"/>
      </w:pPr>
      <w:rPr>
        <w:rFonts w:ascii="Arial" w:hAnsi="Arial" w:hint="default"/>
      </w:rPr>
    </w:lvl>
    <w:lvl w:ilvl="6" w:tplc="D89C766E" w:tentative="1">
      <w:start w:val="1"/>
      <w:numFmt w:val="bullet"/>
      <w:lvlText w:val="•"/>
      <w:lvlJc w:val="left"/>
      <w:pPr>
        <w:tabs>
          <w:tab w:val="num" w:pos="5040"/>
        </w:tabs>
        <w:ind w:left="5040" w:hanging="360"/>
      </w:pPr>
      <w:rPr>
        <w:rFonts w:ascii="Arial" w:hAnsi="Arial" w:hint="default"/>
      </w:rPr>
    </w:lvl>
    <w:lvl w:ilvl="7" w:tplc="E5C693D8" w:tentative="1">
      <w:start w:val="1"/>
      <w:numFmt w:val="bullet"/>
      <w:lvlText w:val="•"/>
      <w:lvlJc w:val="left"/>
      <w:pPr>
        <w:tabs>
          <w:tab w:val="num" w:pos="5760"/>
        </w:tabs>
        <w:ind w:left="5760" w:hanging="360"/>
      </w:pPr>
      <w:rPr>
        <w:rFonts w:ascii="Arial" w:hAnsi="Arial" w:hint="default"/>
      </w:rPr>
    </w:lvl>
    <w:lvl w:ilvl="8" w:tplc="3A843E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6DC403"/>
    <w:multiLevelType w:val="hybridMultilevel"/>
    <w:tmpl w:val="FFFFFFFF"/>
    <w:lvl w:ilvl="0" w:tplc="5E4CFE70">
      <w:start w:val="1"/>
      <w:numFmt w:val="decimal"/>
      <w:lvlText w:val="%1."/>
      <w:lvlJc w:val="left"/>
      <w:pPr>
        <w:ind w:left="720" w:hanging="360"/>
      </w:pPr>
    </w:lvl>
    <w:lvl w:ilvl="1" w:tplc="B6288FB6">
      <w:start w:val="1"/>
      <w:numFmt w:val="lowerLetter"/>
      <w:lvlText w:val="%2."/>
      <w:lvlJc w:val="left"/>
      <w:pPr>
        <w:ind w:left="1440" w:hanging="360"/>
      </w:pPr>
    </w:lvl>
    <w:lvl w:ilvl="2" w:tplc="A498E438">
      <w:start w:val="1"/>
      <w:numFmt w:val="lowerRoman"/>
      <w:lvlText w:val="%3."/>
      <w:lvlJc w:val="right"/>
      <w:pPr>
        <w:ind w:left="2160" w:hanging="180"/>
      </w:pPr>
    </w:lvl>
    <w:lvl w:ilvl="3" w:tplc="FE209BAE">
      <w:start w:val="1"/>
      <w:numFmt w:val="decimal"/>
      <w:lvlText w:val="%4."/>
      <w:lvlJc w:val="left"/>
      <w:pPr>
        <w:ind w:left="2880" w:hanging="360"/>
      </w:pPr>
    </w:lvl>
    <w:lvl w:ilvl="4" w:tplc="D72A1B36">
      <w:start w:val="1"/>
      <w:numFmt w:val="lowerLetter"/>
      <w:lvlText w:val="%5."/>
      <w:lvlJc w:val="left"/>
      <w:pPr>
        <w:ind w:left="3600" w:hanging="360"/>
      </w:pPr>
    </w:lvl>
    <w:lvl w:ilvl="5" w:tplc="4CD0311C">
      <w:start w:val="1"/>
      <w:numFmt w:val="lowerRoman"/>
      <w:lvlText w:val="%6."/>
      <w:lvlJc w:val="right"/>
      <w:pPr>
        <w:ind w:left="4320" w:hanging="180"/>
      </w:pPr>
    </w:lvl>
    <w:lvl w:ilvl="6" w:tplc="46CA42D4">
      <w:start w:val="1"/>
      <w:numFmt w:val="decimal"/>
      <w:lvlText w:val="%7."/>
      <w:lvlJc w:val="left"/>
      <w:pPr>
        <w:ind w:left="5040" w:hanging="360"/>
      </w:pPr>
    </w:lvl>
    <w:lvl w:ilvl="7" w:tplc="28A21F8A">
      <w:start w:val="1"/>
      <w:numFmt w:val="lowerLetter"/>
      <w:lvlText w:val="%8."/>
      <w:lvlJc w:val="left"/>
      <w:pPr>
        <w:ind w:left="5760" w:hanging="360"/>
      </w:pPr>
    </w:lvl>
    <w:lvl w:ilvl="8" w:tplc="3E60513E">
      <w:start w:val="1"/>
      <w:numFmt w:val="lowerRoman"/>
      <w:lvlText w:val="%9."/>
      <w:lvlJc w:val="right"/>
      <w:pPr>
        <w:ind w:left="6480" w:hanging="180"/>
      </w:pPr>
    </w:lvl>
  </w:abstractNum>
  <w:abstractNum w:abstractNumId="8" w15:restartNumberingAfterBreak="0">
    <w:nsid w:val="3D03A1AC"/>
    <w:multiLevelType w:val="hybridMultilevel"/>
    <w:tmpl w:val="FFFFFFFF"/>
    <w:lvl w:ilvl="0" w:tplc="4C829C0C">
      <w:start w:val="1"/>
      <w:numFmt w:val="decimal"/>
      <w:lvlText w:val="%1."/>
      <w:lvlJc w:val="left"/>
      <w:pPr>
        <w:ind w:left="720" w:hanging="360"/>
      </w:pPr>
    </w:lvl>
    <w:lvl w:ilvl="1" w:tplc="E418E80C">
      <w:start w:val="1"/>
      <w:numFmt w:val="lowerLetter"/>
      <w:lvlText w:val="%2."/>
      <w:lvlJc w:val="left"/>
      <w:pPr>
        <w:ind w:left="1440" w:hanging="360"/>
      </w:pPr>
    </w:lvl>
    <w:lvl w:ilvl="2" w:tplc="D832B2E4">
      <w:start w:val="1"/>
      <w:numFmt w:val="lowerRoman"/>
      <w:lvlText w:val="%3."/>
      <w:lvlJc w:val="right"/>
      <w:pPr>
        <w:ind w:left="2160" w:hanging="180"/>
      </w:pPr>
    </w:lvl>
    <w:lvl w:ilvl="3" w:tplc="5D9A31E4">
      <w:start w:val="1"/>
      <w:numFmt w:val="decimal"/>
      <w:lvlText w:val="%4."/>
      <w:lvlJc w:val="left"/>
      <w:pPr>
        <w:ind w:left="2880" w:hanging="360"/>
      </w:pPr>
    </w:lvl>
    <w:lvl w:ilvl="4" w:tplc="75C6A778">
      <w:start w:val="1"/>
      <w:numFmt w:val="lowerLetter"/>
      <w:lvlText w:val="%5."/>
      <w:lvlJc w:val="left"/>
      <w:pPr>
        <w:ind w:left="3600" w:hanging="360"/>
      </w:pPr>
    </w:lvl>
    <w:lvl w:ilvl="5" w:tplc="2ECE11A6">
      <w:start w:val="1"/>
      <w:numFmt w:val="lowerRoman"/>
      <w:lvlText w:val="%6."/>
      <w:lvlJc w:val="right"/>
      <w:pPr>
        <w:ind w:left="4320" w:hanging="180"/>
      </w:pPr>
    </w:lvl>
    <w:lvl w:ilvl="6" w:tplc="81A634EC">
      <w:start w:val="1"/>
      <w:numFmt w:val="decimal"/>
      <w:lvlText w:val="%7."/>
      <w:lvlJc w:val="left"/>
      <w:pPr>
        <w:ind w:left="5040" w:hanging="360"/>
      </w:pPr>
    </w:lvl>
    <w:lvl w:ilvl="7" w:tplc="BBAC4CA2">
      <w:start w:val="1"/>
      <w:numFmt w:val="lowerLetter"/>
      <w:lvlText w:val="%8."/>
      <w:lvlJc w:val="left"/>
      <w:pPr>
        <w:ind w:left="5760" w:hanging="360"/>
      </w:pPr>
    </w:lvl>
    <w:lvl w:ilvl="8" w:tplc="6E4A69AC">
      <w:start w:val="1"/>
      <w:numFmt w:val="lowerRoman"/>
      <w:lvlText w:val="%9."/>
      <w:lvlJc w:val="right"/>
      <w:pPr>
        <w:ind w:left="6480" w:hanging="180"/>
      </w:pPr>
    </w:lvl>
  </w:abstractNum>
  <w:abstractNum w:abstractNumId="9" w15:restartNumberingAfterBreak="0">
    <w:nsid w:val="400885FB"/>
    <w:multiLevelType w:val="hybridMultilevel"/>
    <w:tmpl w:val="FFFFFFFF"/>
    <w:lvl w:ilvl="0" w:tplc="8D36DF28">
      <w:start w:val="1"/>
      <w:numFmt w:val="decimal"/>
      <w:lvlText w:val="%1."/>
      <w:lvlJc w:val="left"/>
      <w:pPr>
        <w:ind w:left="720" w:hanging="360"/>
      </w:pPr>
    </w:lvl>
    <w:lvl w:ilvl="1" w:tplc="BEF2C71E">
      <w:start w:val="1"/>
      <w:numFmt w:val="lowerLetter"/>
      <w:lvlText w:val="%2."/>
      <w:lvlJc w:val="left"/>
      <w:pPr>
        <w:ind w:left="1440" w:hanging="360"/>
      </w:pPr>
    </w:lvl>
    <w:lvl w:ilvl="2" w:tplc="74F8CCEE">
      <w:start w:val="1"/>
      <w:numFmt w:val="lowerRoman"/>
      <w:lvlText w:val="%3."/>
      <w:lvlJc w:val="right"/>
      <w:pPr>
        <w:ind w:left="2160" w:hanging="180"/>
      </w:pPr>
    </w:lvl>
    <w:lvl w:ilvl="3" w:tplc="5C708C84">
      <w:start w:val="1"/>
      <w:numFmt w:val="decimal"/>
      <w:lvlText w:val="%4."/>
      <w:lvlJc w:val="left"/>
      <w:pPr>
        <w:ind w:left="2880" w:hanging="360"/>
      </w:pPr>
    </w:lvl>
    <w:lvl w:ilvl="4" w:tplc="2BBAD3A4">
      <w:start w:val="1"/>
      <w:numFmt w:val="lowerLetter"/>
      <w:lvlText w:val="%5."/>
      <w:lvlJc w:val="left"/>
      <w:pPr>
        <w:ind w:left="3600" w:hanging="360"/>
      </w:pPr>
    </w:lvl>
    <w:lvl w:ilvl="5" w:tplc="F5DC908E">
      <w:start w:val="1"/>
      <w:numFmt w:val="lowerRoman"/>
      <w:lvlText w:val="%6."/>
      <w:lvlJc w:val="right"/>
      <w:pPr>
        <w:ind w:left="4320" w:hanging="180"/>
      </w:pPr>
    </w:lvl>
    <w:lvl w:ilvl="6" w:tplc="40E29CCA">
      <w:start w:val="1"/>
      <w:numFmt w:val="decimal"/>
      <w:lvlText w:val="%7."/>
      <w:lvlJc w:val="left"/>
      <w:pPr>
        <w:ind w:left="5040" w:hanging="360"/>
      </w:pPr>
    </w:lvl>
    <w:lvl w:ilvl="7" w:tplc="6EC04B02">
      <w:start w:val="1"/>
      <w:numFmt w:val="lowerLetter"/>
      <w:lvlText w:val="%8."/>
      <w:lvlJc w:val="left"/>
      <w:pPr>
        <w:ind w:left="5760" w:hanging="360"/>
      </w:pPr>
    </w:lvl>
    <w:lvl w:ilvl="8" w:tplc="EE282BAC">
      <w:start w:val="1"/>
      <w:numFmt w:val="lowerRoman"/>
      <w:lvlText w:val="%9."/>
      <w:lvlJc w:val="right"/>
      <w:pPr>
        <w:ind w:left="6480" w:hanging="180"/>
      </w:pPr>
    </w:lvl>
  </w:abstractNum>
  <w:abstractNum w:abstractNumId="10" w15:restartNumberingAfterBreak="0">
    <w:nsid w:val="45796856"/>
    <w:multiLevelType w:val="hybridMultilevel"/>
    <w:tmpl w:val="470E48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6686182"/>
    <w:multiLevelType w:val="hybridMultilevel"/>
    <w:tmpl w:val="FFFFFFFF"/>
    <w:lvl w:ilvl="0" w:tplc="873452D4">
      <w:start w:val="1"/>
      <w:numFmt w:val="decimal"/>
      <w:lvlText w:val="%1."/>
      <w:lvlJc w:val="left"/>
      <w:pPr>
        <w:ind w:left="720" w:hanging="360"/>
      </w:pPr>
    </w:lvl>
    <w:lvl w:ilvl="1" w:tplc="F54E5EAC">
      <w:start w:val="1"/>
      <w:numFmt w:val="lowerLetter"/>
      <w:lvlText w:val="%2."/>
      <w:lvlJc w:val="left"/>
      <w:pPr>
        <w:ind w:left="1440" w:hanging="360"/>
      </w:pPr>
    </w:lvl>
    <w:lvl w:ilvl="2" w:tplc="5B786C3E">
      <w:start w:val="1"/>
      <w:numFmt w:val="lowerRoman"/>
      <w:lvlText w:val="%3."/>
      <w:lvlJc w:val="right"/>
      <w:pPr>
        <w:ind w:left="2160" w:hanging="180"/>
      </w:pPr>
    </w:lvl>
    <w:lvl w:ilvl="3" w:tplc="15B66CB0">
      <w:start w:val="1"/>
      <w:numFmt w:val="decimal"/>
      <w:lvlText w:val="%4."/>
      <w:lvlJc w:val="left"/>
      <w:pPr>
        <w:ind w:left="2880" w:hanging="360"/>
      </w:pPr>
    </w:lvl>
    <w:lvl w:ilvl="4" w:tplc="FC447642">
      <w:start w:val="1"/>
      <w:numFmt w:val="lowerLetter"/>
      <w:lvlText w:val="%5."/>
      <w:lvlJc w:val="left"/>
      <w:pPr>
        <w:ind w:left="3600" w:hanging="360"/>
      </w:pPr>
    </w:lvl>
    <w:lvl w:ilvl="5" w:tplc="2A0685FE">
      <w:start w:val="1"/>
      <w:numFmt w:val="lowerRoman"/>
      <w:lvlText w:val="%6."/>
      <w:lvlJc w:val="right"/>
      <w:pPr>
        <w:ind w:left="4320" w:hanging="180"/>
      </w:pPr>
    </w:lvl>
    <w:lvl w:ilvl="6" w:tplc="DED4E5DE">
      <w:start w:val="1"/>
      <w:numFmt w:val="decimal"/>
      <w:lvlText w:val="%7."/>
      <w:lvlJc w:val="left"/>
      <w:pPr>
        <w:ind w:left="5040" w:hanging="360"/>
      </w:pPr>
    </w:lvl>
    <w:lvl w:ilvl="7" w:tplc="1452E0C8">
      <w:start w:val="1"/>
      <w:numFmt w:val="lowerLetter"/>
      <w:lvlText w:val="%8."/>
      <w:lvlJc w:val="left"/>
      <w:pPr>
        <w:ind w:left="5760" w:hanging="360"/>
      </w:pPr>
    </w:lvl>
    <w:lvl w:ilvl="8" w:tplc="030C543C">
      <w:start w:val="1"/>
      <w:numFmt w:val="lowerRoman"/>
      <w:lvlText w:val="%9."/>
      <w:lvlJc w:val="right"/>
      <w:pPr>
        <w:ind w:left="6480" w:hanging="180"/>
      </w:pPr>
    </w:lvl>
  </w:abstractNum>
  <w:abstractNum w:abstractNumId="12" w15:restartNumberingAfterBreak="0">
    <w:nsid w:val="51A90356"/>
    <w:multiLevelType w:val="hybridMultilevel"/>
    <w:tmpl w:val="470E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4B3B2B"/>
    <w:multiLevelType w:val="hybridMultilevel"/>
    <w:tmpl w:val="FFFFFFFF"/>
    <w:lvl w:ilvl="0" w:tplc="9EE40B9A">
      <w:start w:val="1"/>
      <w:numFmt w:val="decimal"/>
      <w:lvlText w:val="%1."/>
      <w:lvlJc w:val="left"/>
      <w:pPr>
        <w:ind w:left="720" w:hanging="360"/>
      </w:pPr>
    </w:lvl>
    <w:lvl w:ilvl="1" w:tplc="77FA344E">
      <w:start w:val="1"/>
      <w:numFmt w:val="lowerLetter"/>
      <w:lvlText w:val="%2."/>
      <w:lvlJc w:val="left"/>
      <w:pPr>
        <w:ind w:left="1440" w:hanging="360"/>
      </w:pPr>
    </w:lvl>
    <w:lvl w:ilvl="2" w:tplc="DAFA6026">
      <w:start w:val="1"/>
      <w:numFmt w:val="lowerRoman"/>
      <w:lvlText w:val="%3."/>
      <w:lvlJc w:val="right"/>
      <w:pPr>
        <w:ind w:left="2160" w:hanging="180"/>
      </w:pPr>
    </w:lvl>
    <w:lvl w:ilvl="3" w:tplc="0CDA6D22">
      <w:start w:val="1"/>
      <w:numFmt w:val="decimal"/>
      <w:lvlText w:val="%4."/>
      <w:lvlJc w:val="left"/>
      <w:pPr>
        <w:ind w:left="2880" w:hanging="360"/>
      </w:pPr>
    </w:lvl>
    <w:lvl w:ilvl="4" w:tplc="512C5532">
      <w:start w:val="1"/>
      <w:numFmt w:val="lowerLetter"/>
      <w:lvlText w:val="%5."/>
      <w:lvlJc w:val="left"/>
      <w:pPr>
        <w:ind w:left="3600" w:hanging="360"/>
      </w:pPr>
    </w:lvl>
    <w:lvl w:ilvl="5" w:tplc="B0A4FA8C">
      <w:start w:val="1"/>
      <w:numFmt w:val="lowerRoman"/>
      <w:lvlText w:val="%6."/>
      <w:lvlJc w:val="right"/>
      <w:pPr>
        <w:ind w:left="4320" w:hanging="180"/>
      </w:pPr>
    </w:lvl>
    <w:lvl w:ilvl="6" w:tplc="77429C9E">
      <w:start w:val="1"/>
      <w:numFmt w:val="decimal"/>
      <w:lvlText w:val="%7."/>
      <w:lvlJc w:val="left"/>
      <w:pPr>
        <w:ind w:left="5040" w:hanging="360"/>
      </w:pPr>
    </w:lvl>
    <w:lvl w:ilvl="7" w:tplc="CFBE66BA">
      <w:start w:val="1"/>
      <w:numFmt w:val="lowerLetter"/>
      <w:lvlText w:val="%8."/>
      <w:lvlJc w:val="left"/>
      <w:pPr>
        <w:ind w:left="5760" w:hanging="360"/>
      </w:pPr>
    </w:lvl>
    <w:lvl w:ilvl="8" w:tplc="685C142C">
      <w:start w:val="1"/>
      <w:numFmt w:val="lowerRoman"/>
      <w:lvlText w:val="%9."/>
      <w:lvlJc w:val="right"/>
      <w:pPr>
        <w:ind w:left="6480" w:hanging="180"/>
      </w:pPr>
    </w:lvl>
  </w:abstractNum>
  <w:abstractNum w:abstractNumId="14" w15:restartNumberingAfterBreak="0">
    <w:nsid w:val="72AE469B"/>
    <w:multiLevelType w:val="hybridMultilevel"/>
    <w:tmpl w:val="D6AE78E6"/>
    <w:lvl w:ilvl="0" w:tplc="6BAC32D6">
      <w:start w:val="1"/>
      <w:numFmt w:val="bullet"/>
      <w:lvlText w:val="•"/>
      <w:lvlJc w:val="left"/>
      <w:pPr>
        <w:tabs>
          <w:tab w:val="num" w:pos="720"/>
        </w:tabs>
        <w:ind w:left="720" w:hanging="360"/>
      </w:pPr>
      <w:rPr>
        <w:rFonts w:ascii="Arial" w:hAnsi="Arial" w:hint="default"/>
      </w:rPr>
    </w:lvl>
    <w:lvl w:ilvl="1" w:tplc="94E4743A">
      <w:numFmt w:val="bullet"/>
      <w:lvlText w:val="•"/>
      <w:lvlJc w:val="left"/>
      <w:pPr>
        <w:tabs>
          <w:tab w:val="num" w:pos="1440"/>
        </w:tabs>
        <w:ind w:left="1440" w:hanging="360"/>
      </w:pPr>
      <w:rPr>
        <w:rFonts w:ascii="Arial" w:hAnsi="Arial" w:hint="default"/>
      </w:rPr>
    </w:lvl>
    <w:lvl w:ilvl="2" w:tplc="6C24FA00">
      <w:numFmt w:val="bullet"/>
      <w:lvlText w:val="•"/>
      <w:lvlJc w:val="left"/>
      <w:pPr>
        <w:tabs>
          <w:tab w:val="num" w:pos="2160"/>
        </w:tabs>
        <w:ind w:left="2160" w:hanging="360"/>
      </w:pPr>
      <w:rPr>
        <w:rFonts w:ascii="Arial" w:hAnsi="Arial" w:hint="default"/>
      </w:rPr>
    </w:lvl>
    <w:lvl w:ilvl="3" w:tplc="9050EF86" w:tentative="1">
      <w:start w:val="1"/>
      <w:numFmt w:val="bullet"/>
      <w:lvlText w:val="•"/>
      <w:lvlJc w:val="left"/>
      <w:pPr>
        <w:tabs>
          <w:tab w:val="num" w:pos="2880"/>
        </w:tabs>
        <w:ind w:left="2880" w:hanging="360"/>
      </w:pPr>
      <w:rPr>
        <w:rFonts w:ascii="Arial" w:hAnsi="Arial" w:hint="default"/>
      </w:rPr>
    </w:lvl>
    <w:lvl w:ilvl="4" w:tplc="799E37C6" w:tentative="1">
      <w:start w:val="1"/>
      <w:numFmt w:val="bullet"/>
      <w:lvlText w:val="•"/>
      <w:lvlJc w:val="left"/>
      <w:pPr>
        <w:tabs>
          <w:tab w:val="num" w:pos="3600"/>
        </w:tabs>
        <w:ind w:left="3600" w:hanging="360"/>
      </w:pPr>
      <w:rPr>
        <w:rFonts w:ascii="Arial" w:hAnsi="Arial" w:hint="default"/>
      </w:rPr>
    </w:lvl>
    <w:lvl w:ilvl="5" w:tplc="F1B686A0" w:tentative="1">
      <w:start w:val="1"/>
      <w:numFmt w:val="bullet"/>
      <w:lvlText w:val="•"/>
      <w:lvlJc w:val="left"/>
      <w:pPr>
        <w:tabs>
          <w:tab w:val="num" w:pos="4320"/>
        </w:tabs>
        <w:ind w:left="4320" w:hanging="360"/>
      </w:pPr>
      <w:rPr>
        <w:rFonts w:ascii="Arial" w:hAnsi="Arial" w:hint="default"/>
      </w:rPr>
    </w:lvl>
    <w:lvl w:ilvl="6" w:tplc="147AE628" w:tentative="1">
      <w:start w:val="1"/>
      <w:numFmt w:val="bullet"/>
      <w:lvlText w:val="•"/>
      <w:lvlJc w:val="left"/>
      <w:pPr>
        <w:tabs>
          <w:tab w:val="num" w:pos="5040"/>
        </w:tabs>
        <w:ind w:left="5040" w:hanging="360"/>
      </w:pPr>
      <w:rPr>
        <w:rFonts w:ascii="Arial" w:hAnsi="Arial" w:hint="default"/>
      </w:rPr>
    </w:lvl>
    <w:lvl w:ilvl="7" w:tplc="48B0F912" w:tentative="1">
      <w:start w:val="1"/>
      <w:numFmt w:val="bullet"/>
      <w:lvlText w:val="•"/>
      <w:lvlJc w:val="left"/>
      <w:pPr>
        <w:tabs>
          <w:tab w:val="num" w:pos="5760"/>
        </w:tabs>
        <w:ind w:left="5760" w:hanging="360"/>
      </w:pPr>
      <w:rPr>
        <w:rFonts w:ascii="Arial" w:hAnsi="Arial" w:hint="default"/>
      </w:rPr>
    </w:lvl>
    <w:lvl w:ilvl="8" w:tplc="F1D047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61DB41"/>
    <w:multiLevelType w:val="hybridMultilevel"/>
    <w:tmpl w:val="FFFFFFFF"/>
    <w:lvl w:ilvl="0" w:tplc="8BE8BCE6">
      <w:start w:val="1"/>
      <w:numFmt w:val="decimal"/>
      <w:lvlText w:val="%1."/>
      <w:lvlJc w:val="left"/>
      <w:pPr>
        <w:ind w:left="720" w:hanging="360"/>
      </w:pPr>
    </w:lvl>
    <w:lvl w:ilvl="1" w:tplc="4F109CC8">
      <w:start w:val="1"/>
      <w:numFmt w:val="lowerLetter"/>
      <w:lvlText w:val="%2."/>
      <w:lvlJc w:val="left"/>
      <w:pPr>
        <w:ind w:left="1440" w:hanging="360"/>
      </w:pPr>
    </w:lvl>
    <w:lvl w:ilvl="2" w:tplc="16A04C96">
      <w:start w:val="1"/>
      <w:numFmt w:val="lowerRoman"/>
      <w:lvlText w:val="%3."/>
      <w:lvlJc w:val="right"/>
      <w:pPr>
        <w:ind w:left="2160" w:hanging="180"/>
      </w:pPr>
    </w:lvl>
    <w:lvl w:ilvl="3" w:tplc="8FEE0D80">
      <w:start w:val="1"/>
      <w:numFmt w:val="decimal"/>
      <w:lvlText w:val="%4."/>
      <w:lvlJc w:val="left"/>
      <w:pPr>
        <w:ind w:left="2880" w:hanging="360"/>
      </w:pPr>
    </w:lvl>
    <w:lvl w:ilvl="4" w:tplc="66EE1D22">
      <w:start w:val="1"/>
      <w:numFmt w:val="lowerLetter"/>
      <w:lvlText w:val="%5."/>
      <w:lvlJc w:val="left"/>
      <w:pPr>
        <w:ind w:left="3600" w:hanging="360"/>
      </w:pPr>
    </w:lvl>
    <w:lvl w:ilvl="5" w:tplc="E0E6635E">
      <w:start w:val="1"/>
      <w:numFmt w:val="lowerRoman"/>
      <w:lvlText w:val="%6."/>
      <w:lvlJc w:val="right"/>
      <w:pPr>
        <w:ind w:left="4320" w:hanging="180"/>
      </w:pPr>
    </w:lvl>
    <w:lvl w:ilvl="6" w:tplc="6642791C">
      <w:start w:val="1"/>
      <w:numFmt w:val="decimal"/>
      <w:lvlText w:val="%7."/>
      <w:lvlJc w:val="left"/>
      <w:pPr>
        <w:ind w:left="5040" w:hanging="360"/>
      </w:pPr>
    </w:lvl>
    <w:lvl w:ilvl="7" w:tplc="8BAE221A">
      <w:start w:val="1"/>
      <w:numFmt w:val="lowerLetter"/>
      <w:lvlText w:val="%8."/>
      <w:lvlJc w:val="left"/>
      <w:pPr>
        <w:ind w:left="5760" w:hanging="360"/>
      </w:pPr>
    </w:lvl>
    <w:lvl w:ilvl="8" w:tplc="BCF23A6E">
      <w:start w:val="1"/>
      <w:numFmt w:val="lowerRoman"/>
      <w:lvlText w:val="%9."/>
      <w:lvlJc w:val="right"/>
      <w:pPr>
        <w:ind w:left="6480" w:hanging="180"/>
      </w:pPr>
    </w:lvl>
  </w:abstractNum>
  <w:num w:numId="1" w16cid:durableId="1632707640">
    <w:abstractNumId w:val="9"/>
  </w:num>
  <w:num w:numId="2" w16cid:durableId="274871228">
    <w:abstractNumId w:val="2"/>
  </w:num>
  <w:num w:numId="3" w16cid:durableId="571698759">
    <w:abstractNumId w:val="1"/>
  </w:num>
  <w:num w:numId="4" w16cid:durableId="397484412">
    <w:abstractNumId w:val="7"/>
  </w:num>
  <w:num w:numId="5" w16cid:durableId="901722050">
    <w:abstractNumId w:val="15"/>
  </w:num>
  <w:num w:numId="6" w16cid:durableId="658776668">
    <w:abstractNumId w:val="11"/>
  </w:num>
  <w:num w:numId="7" w16cid:durableId="1090928357">
    <w:abstractNumId w:val="8"/>
  </w:num>
  <w:num w:numId="8" w16cid:durableId="2131050708">
    <w:abstractNumId w:val="3"/>
  </w:num>
  <w:num w:numId="9" w16cid:durableId="1465004153">
    <w:abstractNumId w:val="13"/>
  </w:num>
  <w:num w:numId="10" w16cid:durableId="1805199660">
    <w:abstractNumId w:val="5"/>
  </w:num>
  <w:num w:numId="11" w16cid:durableId="934703456">
    <w:abstractNumId w:val="6"/>
  </w:num>
  <w:num w:numId="12" w16cid:durableId="1593392618">
    <w:abstractNumId w:val="14"/>
  </w:num>
  <w:num w:numId="13" w16cid:durableId="974216214">
    <w:abstractNumId w:val="0"/>
  </w:num>
  <w:num w:numId="14" w16cid:durableId="1275476698">
    <w:abstractNumId w:val="12"/>
  </w:num>
  <w:num w:numId="15" w16cid:durableId="1480616708">
    <w:abstractNumId w:val="10"/>
  </w:num>
  <w:num w:numId="16" w16cid:durableId="176561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C5"/>
    <w:rsid w:val="000115C5"/>
    <w:rsid w:val="00074425"/>
    <w:rsid w:val="00137AE9"/>
    <w:rsid w:val="0018756C"/>
    <w:rsid w:val="001C172A"/>
    <w:rsid w:val="001D6A60"/>
    <w:rsid w:val="00217581"/>
    <w:rsid w:val="00225C7E"/>
    <w:rsid w:val="002A3547"/>
    <w:rsid w:val="00322D4A"/>
    <w:rsid w:val="00354920"/>
    <w:rsid w:val="003C3DD1"/>
    <w:rsid w:val="004A27A2"/>
    <w:rsid w:val="004B1700"/>
    <w:rsid w:val="004D0017"/>
    <w:rsid w:val="004E3B97"/>
    <w:rsid w:val="00521E69"/>
    <w:rsid w:val="00546917"/>
    <w:rsid w:val="005B6174"/>
    <w:rsid w:val="005C5CA8"/>
    <w:rsid w:val="005D6EC1"/>
    <w:rsid w:val="00632352"/>
    <w:rsid w:val="006D4AC7"/>
    <w:rsid w:val="006F4189"/>
    <w:rsid w:val="007B6A41"/>
    <w:rsid w:val="007C04BE"/>
    <w:rsid w:val="007F38FF"/>
    <w:rsid w:val="0091024B"/>
    <w:rsid w:val="00953E78"/>
    <w:rsid w:val="00A10757"/>
    <w:rsid w:val="00A72852"/>
    <w:rsid w:val="00A87077"/>
    <w:rsid w:val="00AD18EA"/>
    <w:rsid w:val="00B37286"/>
    <w:rsid w:val="00B37B38"/>
    <w:rsid w:val="00B72095"/>
    <w:rsid w:val="00B86AD0"/>
    <w:rsid w:val="00C15762"/>
    <w:rsid w:val="00D52E01"/>
    <w:rsid w:val="00DC60D2"/>
    <w:rsid w:val="00E86054"/>
    <w:rsid w:val="00EB2AE4"/>
    <w:rsid w:val="00F065CC"/>
    <w:rsid w:val="00F34417"/>
    <w:rsid w:val="00FA3118"/>
    <w:rsid w:val="0178DBD3"/>
    <w:rsid w:val="01BD45E2"/>
    <w:rsid w:val="01C53368"/>
    <w:rsid w:val="02B3714D"/>
    <w:rsid w:val="030CDAE1"/>
    <w:rsid w:val="0314AC34"/>
    <w:rsid w:val="03B15357"/>
    <w:rsid w:val="04B07C95"/>
    <w:rsid w:val="05422D72"/>
    <w:rsid w:val="05B1884E"/>
    <w:rsid w:val="063126A5"/>
    <w:rsid w:val="064663D9"/>
    <w:rsid w:val="0690B705"/>
    <w:rsid w:val="06A71FAD"/>
    <w:rsid w:val="070921E9"/>
    <w:rsid w:val="071F5B88"/>
    <w:rsid w:val="08025391"/>
    <w:rsid w:val="082C8766"/>
    <w:rsid w:val="083474EC"/>
    <w:rsid w:val="0A2A668A"/>
    <w:rsid w:val="0A35508E"/>
    <w:rsid w:val="0A3CD156"/>
    <w:rsid w:val="0AAB4996"/>
    <w:rsid w:val="0B04E03F"/>
    <w:rsid w:val="0B180BBB"/>
    <w:rsid w:val="0B1FBE19"/>
    <w:rsid w:val="0B642828"/>
    <w:rsid w:val="0B716639"/>
    <w:rsid w:val="0BA6D6AE"/>
    <w:rsid w:val="0C10554F"/>
    <w:rsid w:val="0C864E57"/>
    <w:rsid w:val="0CBB8E7A"/>
    <w:rsid w:val="0CFFF889"/>
    <w:rsid w:val="0D042769"/>
    <w:rsid w:val="0D3285B1"/>
    <w:rsid w:val="0D962910"/>
    <w:rsid w:val="0F4FF2BE"/>
    <w:rsid w:val="1037994B"/>
    <w:rsid w:val="1039E4B6"/>
    <w:rsid w:val="10D5B758"/>
    <w:rsid w:val="10E22E21"/>
    <w:rsid w:val="110AD73E"/>
    <w:rsid w:val="11152F10"/>
    <w:rsid w:val="11D369AC"/>
    <w:rsid w:val="11E65776"/>
    <w:rsid w:val="126E6B23"/>
    <w:rsid w:val="127EB516"/>
    <w:rsid w:val="12B5F1C8"/>
    <w:rsid w:val="130C27C4"/>
    <w:rsid w:val="1324BF0B"/>
    <w:rsid w:val="132ACFFE"/>
    <w:rsid w:val="136F3A0D"/>
    <w:rsid w:val="13E3B39C"/>
    <w:rsid w:val="141C94E2"/>
    <w:rsid w:val="14415DB5"/>
    <w:rsid w:val="148C3BB1"/>
    <w:rsid w:val="14B04E01"/>
    <w:rsid w:val="14DEC53C"/>
    <w:rsid w:val="14EBC2BB"/>
    <w:rsid w:val="1598AC5A"/>
    <w:rsid w:val="15A9287B"/>
    <w:rsid w:val="15B25A92"/>
    <w:rsid w:val="16A6DACF"/>
    <w:rsid w:val="16DBD06F"/>
    <w:rsid w:val="16E4E799"/>
    <w:rsid w:val="1744F8DC"/>
    <w:rsid w:val="17E356ED"/>
    <w:rsid w:val="1842AB30"/>
    <w:rsid w:val="184A98B6"/>
    <w:rsid w:val="19C8DA88"/>
    <w:rsid w:val="1A137131"/>
    <w:rsid w:val="1B16E465"/>
    <w:rsid w:val="1B7A4BF2"/>
    <w:rsid w:val="1BA31111"/>
    <w:rsid w:val="1BCD86A4"/>
    <w:rsid w:val="1C5CD40E"/>
    <w:rsid w:val="1C63FE8C"/>
    <w:rsid w:val="1CF010E6"/>
    <w:rsid w:val="1D52FF79"/>
    <w:rsid w:val="1D741838"/>
    <w:rsid w:val="1D928368"/>
    <w:rsid w:val="1DCD1A02"/>
    <w:rsid w:val="1E60523B"/>
    <w:rsid w:val="1EBFE659"/>
    <w:rsid w:val="1EF27584"/>
    <w:rsid w:val="1F500AC1"/>
    <w:rsid w:val="1F9474D0"/>
    <w:rsid w:val="200100D9"/>
    <w:rsid w:val="21C611F4"/>
    <w:rsid w:val="223E98B0"/>
    <w:rsid w:val="223F5A12"/>
    <w:rsid w:val="22C03D1E"/>
    <w:rsid w:val="2339853C"/>
    <w:rsid w:val="2401C4EC"/>
    <w:rsid w:val="24237BE4"/>
    <w:rsid w:val="2467E5F3"/>
    <w:rsid w:val="248F197B"/>
    <w:rsid w:val="25142241"/>
    <w:rsid w:val="25BF4C45"/>
    <w:rsid w:val="25F53271"/>
    <w:rsid w:val="2603B654"/>
    <w:rsid w:val="2699E6DB"/>
    <w:rsid w:val="26AFF2A2"/>
    <w:rsid w:val="273965AE"/>
    <w:rsid w:val="27497195"/>
    <w:rsid w:val="275B1CA6"/>
    <w:rsid w:val="27D86239"/>
    <w:rsid w:val="28A5F076"/>
    <w:rsid w:val="299046D8"/>
    <w:rsid w:val="29A7E31F"/>
    <w:rsid w:val="29C9624E"/>
    <w:rsid w:val="29FC8CE1"/>
    <w:rsid w:val="2A84BEEF"/>
    <w:rsid w:val="2B1002FB"/>
    <w:rsid w:val="2B31E4D7"/>
    <w:rsid w:val="2B5C2613"/>
    <w:rsid w:val="2BE92D92"/>
    <w:rsid w:val="2C599DA5"/>
    <w:rsid w:val="2C72F7D8"/>
    <w:rsid w:val="2CABD35C"/>
    <w:rsid w:val="2CAE25A9"/>
    <w:rsid w:val="2DCAD33A"/>
    <w:rsid w:val="2E47A3BD"/>
    <w:rsid w:val="2E933EBC"/>
    <w:rsid w:val="2EB53287"/>
    <w:rsid w:val="2EBB0487"/>
    <w:rsid w:val="2ECF243D"/>
    <w:rsid w:val="2F447793"/>
    <w:rsid w:val="2FE3741E"/>
    <w:rsid w:val="301724A3"/>
    <w:rsid w:val="308F92AF"/>
    <w:rsid w:val="30E047F4"/>
    <w:rsid w:val="31760623"/>
    <w:rsid w:val="31B200BF"/>
    <w:rsid w:val="327C1855"/>
    <w:rsid w:val="32D2D623"/>
    <w:rsid w:val="3356B2EB"/>
    <w:rsid w:val="339DA7BA"/>
    <w:rsid w:val="3417E8B6"/>
    <w:rsid w:val="341C05A6"/>
    <w:rsid w:val="34399FAE"/>
    <w:rsid w:val="34C4A9E0"/>
    <w:rsid w:val="34DAF785"/>
    <w:rsid w:val="35111DAE"/>
    <w:rsid w:val="355DDB68"/>
    <w:rsid w:val="35D34017"/>
    <w:rsid w:val="35D5700F"/>
    <w:rsid w:val="3635A761"/>
    <w:rsid w:val="3700F4C6"/>
    <w:rsid w:val="3744E265"/>
    <w:rsid w:val="374F8978"/>
    <w:rsid w:val="37714070"/>
    <w:rsid w:val="37D177C2"/>
    <w:rsid w:val="38141105"/>
    <w:rsid w:val="3894F411"/>
    <w:rsid w:val="389CC527"/>
    <w:rsid w:val="38EB59D9"/>
    <w:rsid w:val="3918167D"/>
    <w:rsid w:val="3A3397B1"/>
    <w:rsid w:val="3A5B5656"/>
    <w:rsid w:val="3AA2D03F"/>
    <w:rsid w:val="3B091884"/>
    <w:rsid w:val="3B16ED7F"/>
    <w:rsid w:val="3B61C4D0"/>
    <w:rsid w:val="3BB60A3D"/>
    <w:rsid w:val="3BD465E9"/>
    <w:rsid w:val="3C791E89"/>
    <w:rsid w:val="3C891BA2"/>
    <w:rsid w:val="3CA4E8E5"/>
    <w:rsid w:val="3CE74AB7"/>
    <w:rsid w:val="3D241D19"/>
    <w:rsid w:val="3DACA62B"/>
    <w:rsid w:val="3DE081F4"/>
    <w:rsid w:val="3DE175E1"/>
    <w:rsid w:val="3E7AA769"/>
    <w:rsid w:val="3EBFED7A"/>
    <w:rsid w:val="3F38621D"/>
    <w:rsid w:val="3F7C5255"/>
    <w:rsid w:val="3FA002EB"/>
    <w:rsid w:val="3FA742B0"/>
    <w:rsid w:val="4015FBF3"/>
    <w:rsid w:val="409B56FA"/>
    <w:rsid w:val="40C3468C"/>
    <w:rsid w:val="41D994EF"/>
    <w:rsid w:val="41F78E3C"/>
    <w:rsid w:val="434DE11B"/>
    <w:rsid w:val="436CD6B5"/>
    <w:rsid w:val="43935E9D"/>
    <w:rsid w:val="43DAE542"/>
    <w:rsid w:val="43E712A3"/>
    <w:rsid w:val="44AFFACA"/>
    <w:rsid w:val="450C6E25"/>
    <w:rsid w:val="464BCB2B"/>
    <w:rsid w:val="46A47777"/>
    <w:rsid w:val="46B31607"/>
    <w:rsid w:val="46F95DA7"/>
    <w:rsid w:val="471E2B4C"/>
    <w:rsid w:val="47CBCE49"/>
    <w:rsid w:val="47EBEDE2"/>
    <w:rsid w:val="485952B3"/>
    <w:rsid w:val="48952E08"/>
    <w:rsid w:val="491B43F3"/>
    <w:rsid w:val="49836BED"/>
    <w:rsid w:val="4A853488"/>
    <w:rsid w:val="4AB53A80"/>
    <w:rsid w:val="4AFC9269"/>
    <w:rsid w:val="4B5BEA21"/>
    <w:rsid w:val="4BDE09A1"/>
    <w:rsid w:val="4C16E525"/>
    <w:rsid w:val="4C9F3F6C"/>
    <w:rsid w:val="4CBB0CAF"/>
    <w:rsid w:val="4D367663"/>
    <w:rsid w:val="4DC79569"/>
    <w:rsid w:val="4DC7F7FF"/>
    <w:rsid w:val="4E5ECA96"/>
    <w:rsid w:val="4EBFE917"/>
    <w:rsid w:val="4EE3AC27"/>
    <w:rsid w:val="4F2A17FB"/>
    <w:rsid w:val="4F40CC23"/>
    <w:rsid w:val="518E7DD2"/>
    <w:rsid w:val="51C45917"/>
    <w:rsid w:val="51F701C0"/>
    <w:rsid w:val="5246B4C8"/>
    <w:rsid w:val="527CE84D"/>
    <w:rsid w:val="527F363D"/>
    <w:rsid w:val="5280278A"/>
    <w:rsid w:val="52C1C4B4"/>
    <w:rsid w:val="52D7DB57"/>
    <w:rsid w:val="53323BB9"/>
    <w:rsid w:val="544B3521"/>
    <w:rsid w:val="547A8EB4"/>
    <w:rsid w:val="54CE0C1A"/>
    <w:rsid w:val="54DA4E48"/>
    <w:rsid w:val="550A3A5C"/>
    <w:rsid w:val="554081D8"/>
    <w:rsid w:val="55723747"/>
    <w:rsid w:val="557E558A"/>
    <w:rsid w:val="567AA333"/>
    <w:rsid w:val="5705FE89"/>
    <w:rsid w:val="57147EF7"/>
    <w:rsid w:val="571A25EB"/>
    <w:rsid w:val="5730C451"/>
    <w:rsid w:val="5730EA8C"/>
    <w:rsid w:val="575D9F6E"/>
    <w:rsid w:val="57618552"/>
    <w:rsid w:val="57D25D46"/>
    <w:rsid w:val="5805ACDC"/>
    <w:rsid w:val="58B5F64C"/>
    <w:rsid w:val="58C19E6C"/>
    <w:rsid w:val="59AD6207"/>
    <w:rsid w:val="59CC1CDF"/>
    <w:rsid w:val="5A48E6AD"/>
    <w:rsid w:val="5A6D2FEE"/>
    <w:rsid w:val="5B5F2C1F"/>
    <w:rsid w:val="5C6397A4"/>
    <w:rsid w:val="5C6AA060"/>
    <w:rsid w:val="5E0CFB5E"/>
    <w:rsid w:val="5E595D8B"/>
    <w:rsid w:val="5F6C9737"/>
    <w:rsid w:val="5FC9EC3A"/>
    <w:rsid w:val="6063FB2F"/>
    <w:rsid w:val="61DE6A6D"/>
    <w:rsid w:val="61FFCB90"/>
    <w:rsid w:val="6240BF67"/>
    <w:rsid w:val="62546375"/>
    <w:rsid w:val="6281ADDD"/>
    <w:rsid w:val="62A437F9"/>
    <w:rsid w:val="6303C5EF"/>
    <w:rsid w:val="632CCEAE"/>
    <w:rsid w:val="638DD639"/>
    <w:rsid w:val="64843500"/>
    <w:rsid w:val="6492273C"/>
    <w:rsid w:val="649A40C7"/>
    <w:rsid w:val="64E1C76C"/>
    <w:rsid w:val="65158316"/>
    <w:rsid w:val="65A2FD37"/>
    <w:rsid w:val="6736E012"/>
    <w:rsid w:val="673BC310"/>
    <w:rsid w:val="67468156"/>
    <w:rsid w:val="696362FE"/>
    <w:rsid w:val="699C1032"/>
    <w:rsid w:val="69D6CA08"/>
    <w:rsid w:val="6A81EE50"/>
    <w:rsid w:val="6AB67D8F"/>
    <w:rsid w:val="6B37E093"/>
    <w:rsid w:val="6B5D8902"/>
    <w:rsid w:val="6B89E474"/>
    <w:rsid w:val="6BB9C6A1"/>
    <w:rsid w:val="6C6028A9"/>
    <w:rsid w:val="6C8F46E5"/>
    <w:rsid w:val="6D5A17B8"/>
    <w:rsid w:val="6D7FE6B3"/>
    <w:rsid w:val="6DAE1CF5"/>
    <w:rsid w:val="6DB9AFB5"/>
    <w:rsid w:val="6E2B1746"/>
    <w:rsid w:val="6F5E57AD"/>
    <w:rsid w:val="70104D55"/>
    <w:rsid w:val="7101C24C"/>
    <w:rsid w:val="728B6DFE"/>
    <w:rsid w:val="72DBBD09"/>
    <w:rsid w:val="72F39609"/>
    <w:rsid w:val="72FE8869"/>
    <w:rsid w:val="7389787B"/>
    <w:rsid w:val="73EB4BDA"/>
    <w:rsid w:val="74DEC2D9"/>
    <w:rsid w:val="75D4EE44"/>
    <w:rsid w:val="76D9879E"/>
    <w:rsid w:val="776AFC51"/>
    <w:rsid w:val="77C04E7B"/>
    <w:rsid w:val="78F0C1C3"/>
    <w:rsid w:val="792594A1"/>
    <w:rsid w:val="795511CA"/>
    <w:rsid w:val="796F2BD3"/>
    <w:rsid w:val="7A486483"/>
    <w:rsid w:val="7A5AEF6E"/>
    <w:rsid w:val="7B018235"/>
    <w:rsid w:val="7B099A4E"/>
    <w:rsid w:val="7B4E045D"/>
    <w:rsid w:val="7B5D890C"/>
    <w:rsid w:val="7B9127CB"/>
    <w:rsid w:val="7B92F6E8"/>
    <w:rsid w:val="7B96C9E2"/>
    <w:rsid w:val="7C442FC8"/>
    <w:rsid w:val="7CA56AAF"/>
    <w:rsid w:val="7CE9D4BE"/>
    <w:rsid w:val="7D3BD89F"/>
    <w:rsid w:val="7DA06FA6"/>
    <w:rsid w:val="7DAEF0E1"/>
    <w:rsid w:val="7E413B10"/>
    <w:rsid w:val="7ED7A900"/>
    <w:rsid w:val="7EDB970D"/>
    <w:rsid w:val="7F1BD5A6"/>
    <w:rsid w:val="7F815598"/>
    <w:rsid w:val="7FDD0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B880"/>
  <w15:chartTrackingRefBased/>
  <w15:docId w15:val="{0EEFE61C-912C-4812-89D2-1BD01FF8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5C5"/>
    <w:pPr>
      <w:tabs>
        <w:tab w:val="center" w:pos="4680"/>
        <w:tab w:val="right" w:pos="9360"/>
      </w:tabs>
    </w:pPr>
  </w:style>
  <w:style w:type="character" w:customStyle="1" w:styleId="HeaderChar">
    <w:name w:val="Header Char"/>
    <w:basedOn w:val="DefaultParagraphFont"/>
    <w:link w:val="Header"/>
    <w:uiPriority w:val="99"/>
    <w:rsid w:val="000115C5"/>
  </w:style>
  <w:style w:type="paragraph" w:styleId="Footer">
    <w:name w:val="footer"/>
    <w:basedOn w:val="Normal"/>
    <w:link w:val="FooterChar"/>
    <w:uiPriority w:val="99"/>
    <w:unhideWhenUsed/>
    <w:rsid w:val="000115C5"/>
    <w:pPr>
      <w:tabs>
        <w:tab w:val="center" w:pos="4680"/>
        <w:tab w:val="right" w:pos="9360"/>
      </w:tabs>
    </w:pPr>
  </w:style>
  <w:style w:type="character" w:customStyle="1" w:styleId="FooterChar">
    <w:name w:val="Footer Char"/>
    <w:basedOn w:val="DefaultParagraphFont"/>
    <w:link w:val="Footer"/>
    <w:uiPriority w:val="99"/>
    <w:rsid w:val="000115C5"/>
  </w:style>
  <w:style w:type="paragraph" w:styleId="Title">
    <w:name w:val="Title"/>
    <w:basedOn w:val="Normal"/>
    <w:next w:val="Normal"/>
    <w:link w:val="TitleChar"/>
    <w:uiPriority w:val="10"/>
    <w:qFormat/>
    <w:rsid w:val="000115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5C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2336">
      <w:bodyDiv w:val="1"/>
      <w:marLeft w:val="0"/>
      <w:marRight w:val="0"/>
      <w:marTop w:val="0"/>
      <w:marBottom w:val="0"/>
      <w:divBdr>
        <w:top w:val="none" w:sz="0" w:space="0" w:color="auto"/>
        <w:left w:val="none" w:sz="0" w:space="0" w:color="auto"/>
        <w:bottom w:val="none" w:sz="0" w:space="0" w:color="auto"/>
        <w:right w:val="none" w:sz="0" w:space="0" w:color="auto"/>
      </w:divBdr>
      <w:divsChild>
        <w:div w:id="26953917">
          <w:marLeft w:val="1080"/>
          <w:marRight w:val="0"/>
          <w:marTop w:val="100"/>
          <w:marBottom w:val="0"/>
          <w:divBdr>
            <w:top w:val="none" w:sz="0" w:space="0" w:color="auto"/>
            <w:left w:val="none" w:sz="0" w:space="0" w:color="auto"/>
            <w:bottom w:val="none" w:sz="0" w:space="0" w:color="auto"/>
            <w:right w:val="none" w:sz="0" w:space="0" w:color="auto"/>
          </w:divBdr>
        </w:div>
        <w:div w:id="533075086">
          <w:marLeft w:val="1800"/>
          <w:marRight w:val="0"/>
          <w:marTop w:val="100"/>
          <w:marBottom w:val="0"/>
          <w:divBdr>
            <w:top w:val="none" w:sz="0" w:space="0" w:color="auto"/>
            <w:left w:val="none" w:sz="0" w:space="0" w:color="auto"/>
            <w:bottom w:val="none" w:sz="0" w:space="0" w:color="auto"/>
            <w:right w:val="none" w:sz="0" w:space="0" w:color="auto"/>
          </w:divBdr>
        </w:div>
        <w:div w:id="589046008">
          <w:marLeft w:val="1080"/>
          <w:marRight w:val="0"/>
          <w:marTop w:val="100"/>
          <w:marBottom w:val="0"/>
          <w:divBdr>
            <w:top w:val="none" w:sz="0" w:space="0" w:color="auto"/>
            <w:left w:val="none" w:sz="0" w:space="0" w:color="auto"/>
            <w:bottom w:val="none" w:sz="0" w:space="0" w:color="auto"/>
            <w:right w:val="none" w:sz="0" w:space="0" w:color="auto"/>
          </w:divBdr>
        </w:div>
        <w:div w:id="719597273">
          <w:marLeft w:val="1800"/>
          <w:marRight w:val="0"/>
          <w:marTop w:val="100"/>
          <w:marBottom w:val="0"/>
          <w:divBdr>
            <w:top w:val="none" w:sz="0" w:space="0" w:color="auto"/>
            <w:left w:val="none" w:sz="0" w:space="0" w:color="auto"/>
            <w:bottom w:val="none" w:sz="0" w:space="0" w:color="auto"/>
            <w:right w:val="none" w:sz="0" w:space="0" w:color="auto"/>
          </w:divBdr>
        </w:div>
        <w:div w:id="1250849981">
          <w:marLeft w:val="360"/>
          <w:marRight w:val="0"/>
          <w:marTop w:val="200"/>
          <w:marBottom w:val="0"/>
          <w:divBdr>
            <w:top w:val="none" w:sz="0" w:space="0" w:color="auto"/>
            <w:left w:val="none" w:sz="0" w:space="0" w:color="auto"/>
            <w:bottom w:val="none" w:sz="0" w:space="0" w:color="auto"/>
            <w:right w:val="none" w:sz="0" w:space="0" w:color="auto"/>
          </w:divBdr>
        </w:div>
        <w:div w:id="1462191901">
          <w:marLeft w:val="1080"/>
          <w:marRight w:val="0"/>
          <w:marTop w:val="100"/>
          <w:marBottom w:val="0"/>
          <w:divBdr>
            <w:top w:val="none" w:sz="0" w:space="0" w:color="auto"/>
            <w:left w:val="none" w:sz="0" w:space="0" w:color="auto"/>
            <w:bottom w:val="none" w:sz="0" w:space="0" w:color="auto"/>
            <w:right w:val="none" w:sz="0" w:space="0" w:color="auto"/>
          </w:divBdr>
        </w:div>
        <w:div w:id="2135976275">
          <w:marLeft w:val="1080"/>
          <w:marRight w:val="0"/>
          <w:marTop w:val="100"/>
          <w:marBottom w:val="0"/>
          <w:divBdr>
            <w:top w:val="none" w:sz="0" w:space="0" w:color="auto"/>
            <w:left w:val="none" w:sz="0" w:space="0" w:color="auto"/>
            <w:bottom w:val="none" w:sz="0" w:space="0" w:color="auto"/>
            <w:right w:val="none" w:sz="0" w:space="0" w:color="auto"/>
          </w:divBdr>
        </w:div>
      </w:divsChild>
    </w:div>
    <w:div w:id="1015689518">
      <w:bodyDiv w:val="1"/>
      <w:marLeft w:val="0"/>
      <w:marRight w:val="0"/>
      <w:marTop w:val="0"/>
      <w:marBottom w:val="0"/>
      <w:divBdr>
        <w:top w:val="none" w:sz="0" w:space="0" w:color="auto"/>
        <w:left w:val="none" w:sz="0" w:space="0" w:color="auto"/>
        <w:bottom w:val="none" w:sz="0" w:space="0" w:color="auto"/>
        <w:right w:val="none" w:sz="0" w:space="0" w:color="auto"/>
      </w:divBdr>
      <w:divsChild>
        <w:div w:id="67776719">
          <w:marLeft w:val="360"/>
          <w:marRight w:val="0"/>
          <w:marTop w:val="200"/>
          <w:marBottom w:val="0"/>
          <w:divBdr>
            <w:top w:val="none" w:sz="0" w:space="0" w:color="auto"/>
            <w:left w:val="none" w:sz="0" w:space="0" w:color="auto"/>
            <w:bottom w:val="none" w:sz="0" w:space="0" w:color="auto"/>
            <w:right w:val="none" w:sz="0" w:space="0" w:color="auto"/>
          </w:divBdr>
        </w:div>
        <w:div w:id="240649424">
          <w:marLeft w:val="360"/>
          <w:marRight w:val="0"/>
          <w:marTop w:val="200"/>
          <w:marBottom w:val="0"/>
          <w:divBdr>
            <w:top w:val="none" w:sz="0" w:space="0" w:color="auto"/>
            <w:left w:val="none" w:sz="0" w:space="0" w:color="auto"/>
            <w:bottom w:val="none" w:sz="0" w:space="0" w:color="auto"/>
            <w:right w:val="none" w:sz="0" w:space="0" w:color="auto"/>
          </w:divBdr>
        </w:div>
        <w:div w:id="285553363">
          <w:marLeft w:val="360"/>
          <w:marRight w:val="0"/>
          <w:marTop w:val="200"/>
          <w:marBottom w:val="0"/>
          <w:divBdr>
            <w:top w:val="none" w:sz="0" w:space="0" w:color="auto"/>
            <w:left w:val="none" w:sz="0" w:space="0" w:color="auto"/>
            <w:bottom w:val="none" w:sz="0" w:space="0" w:color="auto"/>
            <w:right w:val="none" w:sz="0" w:space="0" w:color="auto"/>
          </w:divBdr>
        </w:div>
        <w:div w:id="310721837">
          <w:marLeft w:val="360"/>
          <w:marRight w:val="0"/>
          <w:marTop w:val="200"/>
          <w:marBottom w:val="0"/>
          <w:divBdr>
            <w:top w:val="none" w:sz="0" w:space="0" w:color="auto"/>
            <w:left w:val="none" w:sz="0" w:space="0" w:color="auto"/>
            <w:bottom w:val="none" w:sz="0" w:space="0" w:color="auto"/>
            <w:right w:val="none" w:sz="0" w:space="0" w:color="auto"/>
          </w:divBdr>
        </w:div>
        <w:div w:id="490173219">
          <w:marLeft w:val="360"/>
          <w:marRight w:val="0"/>
          <w:marTop w:val="200"/>
          <w:marBottom w:val="0"/>
          <w:divBdr>
            <w:top w:val="none" w:sz="0" w:space="0" w:color="auto"/>
            <w:left w:val="none" w:sz="0" w:space="0" w:color="auto"/>
            <w:bottom w:val="none" w:sz="0" w:space="0" w:color="auto"/>
            <w:right w:val="none" w:sz="0" w:space="0" w:color="auto"/>
          </w:divBdr>
        </w:div>
        <w:div w:id="554780544">
          <w:marLeft w:val="360"/>
          <w:marRight w:val="0"/>
          <w:marTop w:val="200"/>
          <w:marBottom w:val="0"/>
          <w:divBdr>
            <w:top w:val="none" w:sz="0" w:space="0" w:color="auto"/>
            <w:left w:val="none" w:sz="0" w:space="0" w:color="auto"/>
            <w:bottom w:val="none" w:sz="0" w:space="0" w:color="auto"/>
            <w:right w:val="none" w:sz="0" w:space="0" w:color="auto"/>
          </w:divBdr>
        </w:div>
        <w:div w:id="726412235">
          <w:marLeft w:val="360"/>
          <w:marRight w:val="0"/>
          <w:marTop w:val="200"/>
          <w:marBottom w:val="0"/>
          <w:divBdr>
            <w:top w:val="none" w:sz="0" w:space="0" w:color="auto"/>
            <w:left w:val="none" w:sz="0" w:space="0" w:color="auto"/>
            <w:bottom w:val="none" w:sz="0" w:space="0" w:color="auto"/>
            <w:right w:val="none" w:sz="0" w:space="0" w:color="auto"/>
          </w:divBdr>
        </w:div>
        <w:div w:id="979846800">
          <w:marLeft w:val="360"/>
          <w:marRight w:val="0"/>
          <w:marTop w:val="200"/>
          <w:marBottom w:val="0"/>
          <w:divBdr>
            <w:top w:val="none" w:sz="0" w:space="0" w:color="auto"/>
            <w:left w:val="none" w:sz="0" w:space="0" w:color="auto"/>
            <w:bottom w:val="none" w:sz="0" w:space="0" w:color="auto"/>
            <w:right w:val="none" w:sz="0" w:space="0" w:color="auto"/>
          </w:divBdr>
        </w:div>
        <w:div w:id="1155874598">
          <w:marLeft w:val="360"/>
          <w:marRight w:val="0"/>
          <w:marTop w:val="200"/>
          <w:marBottom w:val="0"/>
          <w:divBdr>
            <w:top w:val="none" w:sz="0" w:space="0" w:color="auto"/>
            <w:left w:val="none" w:sz="0" w:space="0" w:color="auto"/>
            <w:bottom w:val="none" w:sz="0" w:space="0" w:color="auto"/>
            <w:right w:val="none" w:sz="0" w:space="0" w:color="auto"/>
          </w:divBdr>
        </w:div>
        <w:div w:id="1460874898">
          <w:marLeft w:val="360"/>
          <w:marRight w:val="0"/>
          <w:marTop w:val="200"/>
          <w:marBottom w:val="0"/>
          <w:divBdr>
            <w:top w:val="none" w:sz="0" w:space="0" w:color="auto"/>
            <w:left w:val="none" w:sz="0" w:space="0" w:color="auto"/>
            <w:bottom w:val="none" w:sz="0" w:space="0" w:color="auto"/>
            <w:right w:val="none" w:sz="0" w:space="0" w:color="auto"/>
          </w:divBdr>
        </w:div>
        <w:div w:id="2146773288">
          <w:marLeft w:val="360"/>
          <w:marRight w:val="0"/>
          <w:marTop w:val="200"/>
          <w:marBottom w:val="0"/>
          <w:divBdr>
            <w:top w:val="none" w:sz="0" w:space="0" w:color="auto"/>
            <w:left w:val="none" w:sz="0" w:space="0" w:color="auto"/>
            <w:bottom w:val="none" w:sz="0" w:space="0" w:color="auto"/>
            <w:right w:val="none" w:sz="0" w:space="0" w:color="auto"/>
          </w:divBdr>
        </w:div>
      </w:divsChild>
    </w:div>
    <w:div w:id="1151167391">
      <w:bodyDiv w:val="1"/>
      <w:marLeft w:val="0"/>
      <w:marRight w:val="0"/>
      <w:marTop w:val="0"/>
      <w:marBottom w:val="0"/>
      <w:divBdr>
        <w:top w:val="none" w:sz="0" w:space="0" w:color="auto"/>
        <w:left w:val="none" w:sz="0" w:space="0" w:color="auto"/>
        <w:bottom w:val="none" w:sz="0" w:space="0" w:color="auto"/>
        <w:right w:val="none" w:sz="0" w:space="0" w:color="auto"/>
      </w:divBdr>
    </w:div>
    <w:div w:id="2010403333">
      <w:bodyDiv w:val="1"/>
      <w:marLeft w:val="0"/>
      <w:marRight w:val="0"/>
      <w:marTop w:val="0"/>
      <w:marBottom w:val="0"/>
      <w:divBdr>
        <w:top w:val="none" w:sz="0" w:space="0" w:color="auto"/>
        <w:left w:val="none" w:sz="0" w:space="0" w:color="auto"/>
        <w:bottom w:val="none" w:sz="0" w:space="0" w:color="auto"/>
        <w:right w:val="none" w:sz="0" w:space="0" w:color="auto"/>
      </w:divBdr>
      <w:divsChild>
        <w:div w:id="401097947">
          <w:marLeft w:val="1800"/>
          <w:marRight w:val="0"/>
          <w:marTop w:val="100"/>
          <w:marBottom w:val="0"/>
          <w:divBdr>
            <w:top w:val="none" w:sz="0" w:space="0" w:color="auto"/>
            <w:left w:val="none" w:sz="0" w:space="0" w:color="auto"/>
            <w:bottom w:val="none" w:sz="0" w:space="0" w:color="auto"/>
            <w:right w:val="none" w:sz="0" w:space="0" w:color="auto"/>
          </w:divBdr>
        </w:div>
        <w:div w:id="411852590">
          <w:marLeft w:val="1800"/>
          <w:marRight w:val="0"/>
          <w:marTop w:val="100"/>
          <w:marBottom w:val="0"/>
          <w:divBdr>
            <w:top w:val="none" w:sz="0" w:space="0" w:color="auto"/>
            <w:left w:val="none" w:sz="0" w:space="0" w:color="auto"/>
            <w:bottom w:val="none" w:sz="0" w:space="0" w:color="auto"/>
            <w:right w:val="none" w:sz="0" w:space="0" w:color="auto"/>
          </w:divBdr>
        </w:div>
        <w:div w:id="597295478">
          <w:marLeft w:val="1080"/>
          <w:marRight w:val="0"/>
          <w:marTop w:val="100"/>
          <w:marBottom w:val="0"/>
          <w:divBdr>
            <w:top w:val="none" w:sz="0" w:space="0" w:color="auto"/>
            <w:left w:val="none" w:sz="0" w:space="0" w:color="auto"/>
            <w:bottom w:val="none" w:sz="0" w:space="0" w:color="auto"/>
            <w:right w:val="none" w:sz="0" w:space="0" w:color="auto"/>
          </w:divBdr>
        </w:div>
        <w:div w:id="1219391005">
          <w:marLeft w:val="1080"/>
          <w:marRight w:val="0"/>
          <w:marTop w:val="100"/>
          <w:marBottom w:val="0"/>
          <w:divBdr>
            <w:top w:val="none" w:sz="0" w:space="0" w:color="auto"/>
            <w:left w:val="none" w:sz="0" w:space="0" w:color="auto"/>
            <w:bottom w:val="none" w:sz="0" w:space="0" w:color="auto"/>
            <w:right w:val="none" w:sz="0" w:space="0" w:color="auto"/>
          </w:divBdr>
        </w:div>
        <w:div w:id="1373920752">
          <w:marLeft w:val="1080"/>
          <w:marRight w:val="0"/>
          <w:marTop w:val="100"/>
          <w:marBottom w:val="0"/>
          <w:divBdr>
            <w:top w:val="none" w:sz="0" w:space="0" w:color="auto"/>
            <w:left w:val="none" w:sz="0" w:space="0" w:color="auto"/>
            <w:bottom w:val="none" w:sz="0" w:space="0" w:color="auto"/>
            <w:right w:val="none" w:sz="0" w:space="0" w:color="auto"/>
          </w:divBdr>
        </w:div>
        <w:div w:id="1958484407">
          <w:marLeft w:val="360"/>
          <w:marRight w:val="0"/>
          <w:marTop w:val="200"/>
          <w:marBottom w:val="0"/>
          <w:divBdr>
            <w:top w:val="none" w:sz="0" w:space="0" w:color="auto"/>
            <w:left w:val="none" w:sz="0" w:space="0" w:color="auto"/>
            <w:bottom w:val="none" w:sz="0" w:space="0" w:color="auto"/>
            <w:right w:val="none" w:sz="0" w:space="0" w:color="auto"/>
          </w:divBdr>
        </w:div>
        <w:div w:id="1969969637">
          <w:marLeft w:val="1080"/>
          <w:marRight w:val="0"/>
          <w:marTop w:val="100"/>
          <w:marBottom w:val="0"/>
          <w:divBdr>
            <w:top w:val="none" w:sz="0" w:space="0" w:color="auto"/>
            <w:left w:val="none" w:sz="0" w:space="0" w:color="auto"/>
            <w:bottom w:val="none" w:sz="0" w:space="0" w:color="auto"/>
            <w:right w:val="none" w:sz="0" w:space="0" w:color="auto"/>
          </w:divBdr>
        </w:div>
        <w:div w:id="211886514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2008</Words>
  <Characters>11452</Characters>
  <Application>Microsoft Office Word</Application>
  <DocSecurity>0</DocSecurity>
  <Lines>95</Lines>
  <Paragraphs>26</Paragraphs>
  <ScaleCrop>false</ScaleCrop>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Langley, Natalie R., Ph.D.</dc:creator>
  <cp:keywords/>
  <dc:description/>
  <cp:lastModifiedBy>Langley, Natalie R., Ph.D.</cp:lastModifiedBy>
  <cp:revision>2</cp:revision>
  <dcterms:created xsi:type="dcterms:W3CDTF">2023-08-28T22:03:00Z</dcterms:created>
  <dcterms:modified xsi:type="dcterms:W3CDTF">2023-08-28T22:03:00Z</dcterms:modified>
</cp:coreProperties>
</file>