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7B475" w14:textId="77777777" w:rsidR="005B42C9" w:rsidRPr="005B42C9" w:rsidRDefault="005B42C9" w:rsidP="002068AC">
      <w:pPr>
        <w:jc w:val="both"/>
        <w:rPr>
          <w:rFonts w:ascii="Arial" w:eastAsia="Calibri" w:hAnsi="Arial" w:cs="Arial"/>
          <w:b/>
          <w:bCs/>
          <w:sz w:val="28"/>
          <w:szCs w:val="28"/>
        </w:rPr>
      </w:pPr>
      <w:r w:rsidRPr="005B42C9">
        <w:rPr>
          <w:rFonts w:ascii="Arial" w:eastAsia="Calibri" w:hAnsi="Arial" w:cs="Arial"/>
          <w:b/>
          <w:bCs/>
          <w:sz w:val="28"/>
          <w:szCs w:val="28"/>
        </w:rPr>
        <w:t>2026 ABFA Analyst Competencies &amp; Reading List</w:t>
      </w:r>
    </w:p>
    <w:p w14:paraId="53C93D7D" w14:textId="77777777" w:rsidR="005B42C9" w:rsidRPr="005B42C9" w:rsidRDefault="005B42C9" w:rsidP="002068AC">
      <w:pPr>
        <w:jc w:val="both"/>
        <w:rPr>
          <w:rFonts w:ascii="Arial" w:eastAsia="Calibri" w:hAnsi="Arial" w:cs="Arial"/>
          <w:b/>
          <w:bCs/>
          <w:sz w:val="22"/>
          <w:szCs w:val="22"/>
        </w:rPr>
      </w:pPr>
    </w:p>
    <w:p w14:paraId="4AF2A3E0" w14:textId="77777777" w:rsidR="005B42C9" w:rsidRDefault="005B42C9" w:rsidP="002068AC">
      <w:pPr>
        <w:jc w:val="both"/>
        <w:rPr>
          <w:rFonts w:ascii="Arial" w:eastAsia="Calibri" w:hAnsi="Arial" w:cs="Arial"/>
          <w:sz w:val="22"/>
          <w:szCs w:val="22"/>
        </w:rPr>
      </w:pPr>
      <w:r w:rsidRPr="005B42C9">
        <w:rPr>
          <w:rFonts w:ascii="Arial" w:eastAsia="Calibri" w:hAnsi="Arial" w:cs="Arial"/>
          <w:sz w:val="22"/>
          <w:szCs w:val="22"/>
        </w:rPr>
        <w:t xml:space="preserve">This document contains sources suitable for helping examinees to prepare to demonstrate proficiency of the ABFA Analyst Competencies. Because the ABFA Exam Development Committee (EDC) strives to maintain a balance between assessing the competencies required of board-certified practitioners and generating a manageable reading list for examinees, the reading list is not an exhaustive list of forensic anthropology literature that may be useful in preparing for the exam. </w:t>
      </w:r>
    </w:p>
    <w:p w14:paraId="717C8418" w14:textId="77777777" w:rsidR="005B42C9" w:rsidRPr="005B42C9" w:rsidRDefault="005B42C9" w:rsidP="002068AC">
      <w:pPr>
        <w:jc w:val="both"/>
        <w:rPr>
          <w:rFonts w:ascii="Arial" w:eastAsia="Calibri" w:hAnsi="Arial" w:cs="Arial"/>
          <w:sz w:val="22"/>
          <w:szCs w:val="22"/>
        </w:rPr>
      </w:pPr>
    </w:p>
    <w:p w14:paraId="5985AB21" w14:textId="77777777" w:rsidR="005B42C9" w:rsidRDefault="005B42C9" w:rsidP="002068AC">
      <w:pPr>
        <w:jc w:val="both"/>
        <w:rPr>
          <w:rFonts w:ascii="Arial" w:eastAsia="Calibri" w:hAnsi="Arial" w:cs="Arial"/>
          <w:sz w:val="22"/>
          <w:szCs w:val="22"/>
        </w:rPr>
      </w:pPr>
      <w:r w:rsidRPr="005B42C9">
        <w:rPr>
          <w:rFonts w:ascii="Arial" w:eastAsia="Calibri" w:hAnsi="Arial" w:cs="Arial"/>
          <w:sz w:val="22"/>
          <w:szCs w:val="22"/>
        </w:rPr>
        <w:t>Each section of this list (Topics 1-16) provides the Analyst Competencies, followed by recommended preparation materials (</w:t>
      </w:r>
      <w:r w:rsidRPr="005B42C9">
        <w:rPr>
          <w:rFonts w:ascii="Arial" w:eastAsia="Calibri" w:hAnsi="Arial" w:cs="Arial"/>
          <w:i/>
          <w:iCs/>
          <w:sz w:val="22"/>
          <w:szCs w:val="22"/>
        </w:rPr>
        <w:t>References).</w:t>
      </w:r>
      <w:r w:rsidRPr="005B42C9">
        <w:rPr>
          <w:rFonts w:ascii="Arial" w:eastAsia="Calibri" w:hAnsi="Arial" w:cs="Arial"/>
          <w:sz w:val="22"/>
          <w:szCs w:val="22"/>
        </w:rPr>
        <w:t xml:space="preserve"> In general, entire books will be used to develop “general knowledge questions” while specific chapters or articles will be linked to questions that are more specific to that publication. </w:t>
      </w:r>
    </w:p>
    <w:p w14:paraId="6672EE2B" w14:textId="77777777" w:rsidR="005B42C9" w:rsidRPr="005B42C9" w:rsidRDefault="005B42C9" w:rsidP="002068AC">
      <w:pPr>
        <w:jc w:val="both"/>
        <w:rPr>
          <w:rFonts w:ascii="Arial" w:eastAsia="Calibri" w:hAnsi="Arial" w:cs="Arial"/>
          <w:sz w:val="22"/>
          <w:szCs w:val="22"/>
        </w:rPr>
      </w:pPr>
    </w:p>
    <w:p w14:paraId="7802FA42" w14:textId="1B4A7051" w:rsidR="005B42C9" w:rsidRDefault="005B42C9" w:rsidP="002068AC">
      <w:pPr>
        <w:jc w:val="both"/>
        <w:rPr>
          <w:rFonts w:ascii="Arial" w:eastAsia="Calibri" w:hAnsi="Arial" w:cs="Arial"/>
          <w:sz w:val="22"/>
          <w:szCs w:val="22"/>
        </w:rPr>
      </w:pPr>
      <w:r w:rsidRPr="005B42C9">
        <w:rPr>
          <w:rFonts w:ascii="Arial" w:eastAsia="Calibri" w:hAnsi="Arial" w:cs="Arial"/>
          <w:sz w:val="22"/>
          <w:szCs w:val="22"/>
        </w:rPr>
        <w:t>Be aware that each Reference is provided only once but can address competencies in different topic areas and exam questions are not limited to the topic in which the Reference is listed. For example, References listed in the “Bio Profile” section may have an exam question related to an “Anatomy” or “Statistics” competency. Multiple references may also be listed for the same</w:t>
      </w:r>
      <w:r>
        <w:rPr>
          <w:rFonts w:ascii="Arial" w:eastAsia="Calibri" w:hAnsi="Arial" w:cs="Arial"/>
          <w:sz w:val="22"/>
          <w:szCs w:val="22"/>
        </w:rPr>
        <w:t xml:space="preserve"> </w:t>
      </w:r>
      <w:r w:rsidRPr="005B42C9">
        <w:rPr>
          <w:rFonts w:ascii="Arial" w:eastAsia="Calibri" w:hAnsi="Arial" w:cs="Arial"/>
          <w:sz w:val="22"/>
          <w:szCs w:val="22"/>
        </w:rPr>
        <w:t xml:space="preserve">competency (e.g., multiple books on juvenile development/osteology) to provide options based on availability and preference. The Historical Publications at the end of this document are useful for understanding the development and application of recent methods, but exam questions will not come directly from these sources. </w:t>
      </w:r>
    </w:p>
    <w:p w14:paraId="3CE2A780" w14:textId="77777777" w:rsidR="005B42C9" w:rsidRPr="005B42C9" w:rsidRDefault="005B42C9" w:rsidP="002068AC">
      <w:pPr>
        <w:jc w:val="both"/>
        <w:rPr>
          <w:rFonts w:ascii="Arial" w:eastAsia="Calibri" w:hAnsi="Arial" w:cs="Arial"/>
          <w:sz w:val="22"/>
          <w:szCs w:val="22"/>
        </w:rPr>
      </w:pPr>
    </w:p>
    <w:p w14:paraId="2547BE0C" w14:textId="77777777" w:rsidR="005B42C9" w:rsidRPr="005B42C9" w:rsidRDefault="005B42C9" w:rsidP="002068AC">
      <w:pPr>
        <w:jc w:val="both"/>
        <w:rPr>
          <w:rFonts w:ascii="Arial" w:eastAsia="Calibri" w:hAnsi="Arial" w:cs="Arial"/>
          <w:sz w:val="22"/>
          <w:szCs w:val="22"/>
        </w:rPr>
      </w:pPr>
      <w:r w:rsidRPr="005B42C9">
        <w:rPr>
          <w:rFonts w:ascii="Arial" w:eastAsia="Calibri" w:hAnsi="Arial" w:cs="Arial"/>
          <w:sz w:val="22"/>
          <w:szCs w:val="22"/>
        </w:rPr>
        <w:t>It is not expected that examinees will read every Reference in its entirety, nor will doing so guarantee that an individual is adequately prepared to sit for the Analyst Exam. Depending on your specific education, training, and experience, you may choose to spend more or less time on each of the References. Ultimately, the key to studying is to focus on the competencies and whether you have the appropriate knowledge, skill, or ability noted.</w:t>
      </w:r>
    </w:p>
    <w:p w14:paraId="3803FE2A" w14:textId="77777777" w:rsidR="005B42C9" w:rsidRDefault="005B42C9" w:rsidP="002068AC">
      <w:pPr>
        <w:jc w:val="both"/>
        <w:rPr>
          <w:rFonts w:ascii="Arial" w:eastAsia="Calibri" w:hAnsi="Arial" w:cs="Arial"/>
          <w:sz w:val="22"/>
          <w:szCs w:val="22"/>
        </w:rPr>
      </w:pPr>
    </w:p>
    <w:p w14:paraId="37429A3B" w14:textId="77777777" w:rsidR="005B42C9" w:rsidRDefault="005B42C9" w:rsidP="002068AC">
      <w:pPr>
        <w:jc w:val="both"/>
        <w:rPr>
          <w:rFonts w:ascii="Arial" w:eastAsia="Calibri" w:hAnsi="Arial" w:cs="Arial"/>
          <w:sz w:val="22"/>
          <w:szCs w:val="22"/>
        </w:rPr>
      </w:pPr>
    </w:p>
    <w:p w14:paraId="1D727AAB" w14:textId="77777777" w:rsidR="005B42C9" w:rsidRDefault="005B42C9" w:rsidP="002068AC">
      <w:pPr>
        <w:jc w:val="both"/>
        <w:rPr>
          <w:rFonts w:ascii="Arial" w:eastAsia="Calibri" w:hAnsi="Arial" w:cs="Arial"/>
          <w:sz w:val="22"/>
          <w:szCs w:val="22"/>
        </w:rPr>
      </w:pPr>
    </w:p>
    <w:p w14:paraId="51BA4BBA" w14:textId="77777777" w:rsidR="005B42C9" w:rsidRDefault="005B42C9" w:rsidP="002068AC">
      <w:pPr>
        <w:jc w:val="both"/>
        <w:rPr>
          <w:rFonts w:ascii="Arial" w:eastAsia="Calibri" w:hAnsi="Arial" w:cs="Arial"/>
          <w:sz w:val="22"/>
          <w:szCs w:val="22"/>
        </w:rPr>
      </w:pPr>
    </w:p>
    <w:p w14:paraId="2F51F6B0" w14:textId="77777777" w:rsidR="005B42C9" w:rsidRDefault="005B42C9" w:rsidP="002068AC">
      <w:pPr>
        <w:jc w:val="both"/>
        <w:rPr>
          <w:rFonts w:ascii="Arial" w:eastAsia="Calibri" w:hAnsi="Arial" w:cs="Arial"/>
          <w:sz w:val="22"/>
          <w:szCs w:val="22"/>
        </w:rPr>
      </w:pPr>
    </w:p>
    <w:p w14:paraId="7B85A53E" w14:textId="77777777" w:rsidR="005B42C9" w:rsidRDefault="005B42C9" w:rsidP="002068AC">
      <w:pPr>
        <w:jc w:val="both"/>
        <w:rPr>
          <w:rFonts w:ascii="Arial" w:eastAsia="Calibri" w:hAnsi="Arial" w:cs="Arial"/>
          <w:sz w:val="22"/>
          <w:szCs w:val="22"/>
        </w:rPr>
      </w:pPr>
    </w:p>
    <w:p w14:paraId="01C6AE4A" w14:textId="77777777" w:rsidR="005B42C9" w:rsidRDefault="005B42C9" w:rsidP="002068AC">
      <w:pPr>
        <w:jc w:val="both"/>
        <w:rPr>
          <w:rFonts w:ascii="Arial" w:eastAsia="Calibri" w:hAnsi="Arial" w:cs="Arial"/>
          <w:sz w:val="22"/>
          <w:szCs w:val="22"/>
        </w:rPr>
      </w:pPr>
    </w:p>
    <w:p w14:paraId="5EDF4A3A" w14:textId="77777777" w:rsidR="005B42C9" w:rsidRDefault="005B42C9" w:rsidP="002068AC">
      <w:pPr>
        <w:jc w:val="both"/>
        <w:rPr>
          <w:rFonts w:ascii="Arial" w:eastAsia="Calibri" w:hAnsi="Arial" w:cs="Arial"/>
          <w:sz w:val="22"/>
          <w:szCs w:val="22"/>
        </w:rPr>
      </w:pPr>
    </w:p>
    <w:p w14:paraId="3257EDF9" w14:textId="77777777" w:rsidR="005B42C9" w:rsidRDefault="005B42C9" w:rsidP="002068AC">
      <w:pPr>
        <w:jc w:val="both"/>
        <w:rPr>
          <w:rFonts w:ascii="Arial" w:eastAsia="Calibri" w:hAnsi="Arial" w:cs="Arial"/>
          <w:sz w:val="22"/>
          <w:szCs w:val="22"/>
        </w:rPr>
      </w:pPr>
    </w:p>
    <w:p w14:paraId="2F147460" w14:textId="77777777" w:rsidR="005B42C9" w:rsidRDefault="005B42C9" w:rsidP="002068AC">
      <w:pPr>
        <w:jc w:val="both"/>
        <w:rPr>
          <w:rFonts w:ascii="Arial" w:eastAsia="Calibri" w:hAnsi="Arial" w:cs="Arial"/>
          <w:sz w:val="22"/>
          <w:szCs w:val="22"/>
        </w:rPr>
      </w:pPr>
    </w:p>
    <w:p w14:paraId="1791CD3B" w14:textId="77777777" w:rsidR="005B42C9" w:rsidRDefault="005B42C9" w:rsidP="002068AC">
      <w:pPr>
        <w:jc w:val="both"/>
        <w:rPr>
          <w:rFonts w:ascii="Arial" w:eastAsia="Calibri" w:hAnsi="Arial" w:cs="Arial"/>
          <w:sz w:val="22"/>
          <w:szCs w:val="22"/>
        </w:rPr>
      </w:pPr>
    </w:p>
    <w:p w14:paraId="3DD60D5E" w14:textId="77777777" w:rsidR="005B42C9" w:rsidRDefault="005B42C9" w:rsidP="002068AC">
      <w:pPr>
        <w:jc w:val="both"/>
        <w:rPr>
          <w:rFonts w:ascii="Arial" w:eastAsia="Calibri" w:hAnsi="Arial" w:cs="Arial"/>
          <w:sz w:val="22"/>
          <w:szCs w:val="22"/>
        </w:rPr>
      </w:pPr>
    </w:p>
    <w:p w14:paraId="3B63C07B" w14:textId="77777777" w:rsidR="005B42C9" w:rsidRDefault="005B42C9" w:rsidP="002068AC">
      <w:pPr>
        <w:jc w:val="both"/>
        <w:rPr>
          <w:rFonts w:ascii="Arial" w:eastAsia="Calibri" w:hAnsi="Arial" w:cs="Arial"/>
          <w:sz w:val="22"/>
          <w:szCs w:val="22"/>
        </w:rPr>
      </w:pPr>
    </w:p>
    <w:p w14:paraId="1CDBB569" w14:textId="77777777" w:rsidR="005B42C9" w:rsidRDefault="005B42C9" w:rsidP="002068AC">
      <w:pPr>
        <w:jc w:val="both"/>
        <w:rPr>
          <w:rFonts w:ascii="Arial" w:eastAsia="Calibri" w:hAnsi="Arial" w:cs="Arial"/>
          <w:sz w:val="22"/>
          <w:szCs w:val="22"/>
        </w:rPr>
      </w:pPr>
    </w:p>
    <w:p w14:paraId="178D78FC" w14:textId="77777777" w:rsidR="005B42C9" w:rsidRDefault="005B42C9" w:rsidP="002068AC">
      <w:pPr>
        <w:jc w:val="both"/>
        <w:rPr>
          <w:rFonts w:ascii="Arial" w:eastAsia="Calibri" w:hAnsi="Arial" w:cs="Arial"/>
          <w:sz w:val="22"/>
          <w:szCs w:val="22"/>
        </w:rPr>
      </w:pPr>
    </w:p>
    <w:p w14:paraId="73C35350" w14:textId="77777777" w:rsidR="005B42C9" w:rsidRDefault="005B42C9" w:rsidP="002068AC">
      <w:pPr>
        <w:jc w:val="both"/>
        <w:rPr>
          <w:rFonts w:ascii="Arial" w:eastAsia="Calibri" w:hAnsi="Arial" w:cs="Arial"/>
          <w:sz w:val="22"/>
          <w:szCs w:val="22"/>
        </w:rPr>
      </w:pPr>
    </w:p>
    <w:p w14:paraId="2B203BB3" w14:textId="77777777" w:rsidR="005B42C9" w:rsidRDefault="005B42C9" w:rsidP="002068AC">
      <w:pPr>
        <w:jc w:val="both"/>
        <w:rPr>
          <w:rFonts w:ascii="Arial" w:eastAsia="Calibri" w:hAnsi="Arial" w:cs="Arial"/>
          <w:sz w:val="22"/>
          <w:szCs w:val="22"/>
        </w:rPr>
      </w:pPr>
    </w:p>
    <w:p w14:paraId="03DB406D" w14:textId="77777777" w:rsidR="005B42C9" w:rsidRDefault="005B42C9" w:rsidP="002068AC">
      <w:pPr>
        <w:jc w:val="both"/>
        <w:rPr>
          <w:rFonts w:ascii="Arial" w:eastAsia="Calibri" w:hAnsi="Arial" w:cs="Arial"/>
          <w:sz w:val="22"/>
          <w:szCs w:val="22"/>
        </w:rPr>
      </w:pPr>
    </w:p>
    <w:p w14:paraId="69CD0A45" w14:textId="77777777" w:rsidR="005B42C9" w:rsidRDefault="005B42C9" w:rsidP="002068AC">
      <w:pPr>
        <w:jc w:val="both"/>
        <w:rPr>
          <w:rFonts w:ascii="Arial" w:eastAsia="Calibri" w:hAnsi="Arial" w:cs="Arial"/>
          <w:sz w:val="22"/>
          <w:szCs w:val="22"/>
        </w:rPr>
      </w:pPr>
    </w:p>
    <w:p w14:paraId="4F765949" w14:textId="77777777" w:rsidR="005B42C9" w:rsidRDefault="005B42C9" w:rsidP="002068AC">
      <w:pPr>
        <w:jc w:val="both"/>
        <w:rPr>
          <w:rFonts w:ascii="Arial" w:eastAsia="Calibri" w:hAnsi="Arial" w:cs="Arial"/>
          <w:sz w:val="22"/>
          <w:szCs w:val="22"/>
        </w:rPr>
      </w:pPr>
    </w:p>
    <w:p w14:paraId="249E26A2" w14:textId="77777777" w:rsidR="005B42C9" w:rsidRDefault="005B42C9" w:rsidP="002068AC">
      <w:pPr>
        <w:jc w:val="both"/>
        <w:rPr>
          <w:rFonts w:ascii="Arial" w:eastAsia="Calibri" w:hAnsi="Arial" w:cs="Arial"/>
          <w:sz w:val="22"/>
          <w:szCs w:val="22"/>
        </w:rPr>
      </w:pPr>
    </w:p>
    <w:p w14:paraId="51510B04" w14:textId="77777777" w:rsidR="005B42C9" w:rsidRDefault="005B42C9" w:rsidP="002068AC">
      <w:pPr>
        <w:jc w:val="both"/>
        <w:rPr>
          <w:rFonts w:ascii="Arial" w:eastAsia="Calibri" w:hAnsi="Arial" w:cs="Arial"/>
          <w:sz w:val="22"/>
          <w:szCs w:val="22"/>
        </w:rPr>
      </w:pPr>
    </w:p>
    <w:p w14:paraId="4F074D5A" w14:textId="77777777" w:rsidR="005B42C9" w:rsidRDefault="005B42C9" w:rsidP="002068AC">
      <w:pPr>
        <w:jc w:val="both"/>
        <w:rPr>
          <w:rFonts w:ascii="Arial" w:eastAsia="Calibri" w:hAnsi="Arial" w:cs="Arial"/>
          <w:sz w:val="22"/>
          <w:szCs w:val="22"/>
        </w:rPr>
      </w:pPr>
    </w:p>
    <w:p w14:paraId="3FD18F07" w14:textId="77777777" w:rsidR="005B42C9" w:rsidRDefault="005B42C9" w:rsidP="002068AC">
      <w:pPr>
        <w:jc w:val="both"/>
        <w:rPr>
          <w:rFonts w:ascii="Arial" w:eastAsia="Calibri" w:hAnsi="Arial" w:cs="Arial"/>
          <w:sz w:val="22"/>
          <w:szCs w:val="22"/>
        </w:rPr>
      </w:pPr>
    </w:p>
    <w:p w14:paraId="4C52A6CE" w14:textId="662F4E09" w:rsidR="005B42C9" w:rsidRPr="005B42C9" w:rsidRDefault="005B42C9" w:rsidP="002068AC">
      <w:pPr>
        <w:jc w:val="both"/>
        <w:rPr>
          <w:rFonts w:ascii="Arial" w:eastAsia="Calibri" w:hAnsi="Arial" w:cs="Arial"/>
          <w:b/>
          <w:bCs/>
        </w:rPr>
      </w:pPr>
      <w:r w:rsidRPr="005B42C9">
        <w:rPr>
          <w:rFonts w:ascii="Arial" w:eastAsia="Calibri" w:hAnsi="Arial" w:cs="Arial"/>
          <w:b/>
          <w:bCs/>
        </w:rPr>
        <w:lastRenderedPageBreak/>
        <w:t xml:space="preserve">General Reference Books for Forensic Anthropology </w:t>
      </w:r>
    </w:p>
    <w:p w14:paraId="72D3C649" w14:textId="77777777" w:rsidR="005B42C9" w:rsidRPr="005B42C9" w:rsidRDefault="005B42C9" w:rsidP="002068AC">
      <w:pPr>
        <w:jc w:val="both"/>
        <w:rPr>
          <w:rFonts w:ascii="Arial" w:eastAsia="Calibri" w:hAnsi="Arial" w:cs="Arial"/>
          <w:sz w:val="22"/>
          <w:szCs w:val="22"/>
        </w:rPr>
      </w:pPr>
    </w:p>
    <w:p w14:paraId="19D5FB83" w14:textId="77777777" w:rsidR="005B42C9" w:rsidRDefault="005B42C9" w:rsidP="002068AC">
      <w:pPr>
        <w:jc w:val="both"/>
        <w:rPr>
          <w:rFonts w:ascii="Arial" w:eastAsia="Calibri" w:hAnsi="Arial" w:cs="Arial"/>
          <w:sz w:val="22"/>
          <w:szCs w:val="22"/>
        </w:rPr>
      </w:pPr>
      <w:r w:rsidRPr="005B42C9">
        <w:rPr>
          <w:rFonts w:ascii="Arial" w:eastAsia="Calibri" w:hAnsi="Arial" w:cs="Arial"/>
          <w:sz w:val="22"/>
          <w:szCs w:val="22"/>
        </w:rPr>
        <w:t xml:space="preserve">The following books provide broad overviews of topics within the field of forensic anthropology. In many cases, chapters of these books describe and/or summarize specific references from the reading list, which examinees may find useful. Any examination material that comes from these books would be considered general, foundational knowledge in the discipline. Some of these books have specific chapters listed in “References” in Topics 1-16 from which specific exam questions were derived. </w:t>
      </w:r>
    </w:p>
    <w:p w14:paraId="1E68629E" w14:textId="77777777" w:rsidR="00C24F00" w:rsidRPr="005B42C9" w:rsidRDefault="00C24F00" w:rsidP="002068AC">
      <w:pPr>
        <w:jc w:val="both"/>
        <w:rPr>
          <w:rFonts w:ascii="Arial" w:eastAsia="Calibri" w:hAnsi="Arial" w:cs="Arial"/>
          <w:sz w:val="22"/>
          <w:szCs w:val="22"/>
        </w:rPr>
      </w:pPr>
    </w:p>
    <w:p w14:paraId="411E9FCA" w14:textId="5C0B08F5" w:rsidR="005B42C9" w:rsidRPr="00C24F00" w:rsidRDefault="005B42C9" w:rsidP="002068AC">
      <w:pPr>
        <w:spacing w:after="240"/>
        <w:jc w:val="both"/>
        <w:rPr>
          <w:rFonts w:ascii="Arial" w:eastAsia="Calibri" w:hAnsi="Arial" w:cs="Arial"/>
          <w:sz w:val="22"/>
          <w:szCs w:val="22"/>
        </w:rPr>
      </w:pPr>
      <w:r w:rsidRPr="00C24F00">
        <w:rPr>
          <w:rFonts w:ascii="Arial" w:eastAsia="Calibri" w:hAnsi="Arial" w:cs="Arial"/>
          <w:sz w:val="22"/>
          <w:szCs w:val="22"/>
        </w:rPr>
        <w:t xml:space="preserve">Blau, S., and D. H. Ubelaker, eds. (2016) Handbook of Forensic Archaeology and Anthropology (2nd ed.).  Routledge, NY. </w:t>
      </w:r>
    </w:p>
    <w:p w14:paraId="4EE4E1FF" w14:textId="1E23C49A" w:rsidR="005B42C9" w:rsidRPr="00C24F00" w:rsidRDefault="005B42C9" w:rsidP="002068AC">
      <w:pPr>
        <w:spacing w:after="240"/>
        <w:jc w:val="both"/>
        <w:rPr>
          <w:rFonts w:ascii="Arial" w:eastAsia="Calibri" w:hAnsi="Arial" w:cs="Arial"/>
          <w:sz w:val="22"/>
          <w:szCs w:val="22"/>
        </w:rPr>
      </w:pPr>
      <w:r w:rsidRPr="00C24F00">
        <w:rPr>
          <w:rFonts w:ascii="Arial" w:eastAsia="Calibri" w:hAnsi="Arial" w:cs="Arial"/>
          <w:sz w:val="22"/>
          <w:szCs w:val="22"/>
        </w:rPr>
        <w:t xml:space="preserve">Boyd, C.C., and D.C. Boyd. (2018). Forensic Anthropology: Theoretical Framework and Scientific Basis. Wiley, Hoboken, NJ. </w:t>
      </w:r>
    </w:p>
    <w:p w14:paraId="3DBED6C4" w14:textId="7AE4D2CD" w:rsidR="005B42C9" w:rsidRPr="00C24F00" w:rsidRDefault="005B42C9" w:rsidP="002068AC">
      <w:pPr>
        <w:spacing w:after="240"/>
        <w:jc w:val="both"/>
        <w:rPr>
          <w:rFonts w:ascii="Arial" w:eastAsia="Calibri" w:hAnsi="Arial" w:cs="Arial"/>
          <w:sz w:val="22"/>
          <w:szCs w:val="22"/>
        </w:rPr>
      </w:pPr>
      <w:r w:rsidRPr="00C24F00">
        <w:rPr>
          <w:rFonts w:ascii="Arial" w:eastAsia="Calibri" w:hAnsi="Arial" w:cs="Arial"/>
          <w:sz w:val="22"/>
          <w:szCs w:val="22"/>
        </w:rPr>
        <w:t>Christensen, A. M., Passalacqua, N. V., and E. J. Bartelink (2019) Forensic Anthropology: Current Methods and Practice, 2nd Edition.  Academic Press, NY.</w:t>
      </w:r>
    </w:p>
    <w:p w14:paraId="5D4202F4" w14:textId="6ED6FB72" w:rsidR="005B42C9" w:rsidRPr="00C24F00" w:rsidRDefault="005B42C9" w:rsidP="002068AC">
      <w:pPr>
        <w:spacing w:after="240"/>
        <w:jc w:val="both"/>
        <w:rPr>
          <w:rFonts w:ascii="Arial" w:eastAsia="Calibri" w:hAnsi="Arial" w:cs="Arial"/>
          <w:sz w:val="22"/>
          <w:szCs w:val="22"/>
        </w:rPr>
      </w:pPr>
      <w:r w:rsidRPr="00C24F00">
        <w:rPr>
          <w:rFonts w:ascii="Arial" w:eastAsia="Calibri" w:hAnsi="Arial" w:cs="Arial"/>
          <w:sz w:val="22"/>
          <w:szCs w:val="22"/>
        </w:rPr>
        <w:t xml:space="preserve">DiGangi, E. A., and M. K. Moore, eds. (2013) Research Methods in Human Skeletal Biology.  Academic Press, Amsterdam.  </w:t>
      </w:r>
    </w:p>
    <w:p w14:paraId="48783E1B" w14:textId="5864C8A6" w:rsidR="005B42C9" w:rsidRPr="00C24F00" w:rsidRDefault="005B42C9" w:rsidP="002068AC">
      <w:pPr>
        <w:spacing w:after="240"/>
        <w:jc w:val="both"/>
        <w:rPr>
          <w:rFonts w:ascii="Arial" w:eastAsia="Calibri" w:hAnsi="Arial" w:cs="Arial"/>
          <w:sz w:val="22"/>
          <w:szCs w:val="22"/>
        </w:rPr>
      </w:pPr>
      <w:r w:rsidRPr="00C24F00">
        <w:rPr>
          <w:rFonts w:ascii="Arial" w:eastAsia="Calibri" w:hAnsi="Arial" w:cs="Arial"/>
          <w:sz w:val="22"/>
          <w:szCs w:val="22"/>
        </w:rPr>
        <w:t xml:space="preserve">Dirkmaat, D. C., ed. (2012) A Companion to Forensic Anthropology.  Wiley-Blackwell, Chichester, UK. </w:t>
      </w:r>
    </w:p>
    <w:p w14:paraId="47F36820" w14:textId="2C86B4A8" w:rsidR="005B42C9" w:rsidRPr="00C24F00" w:rsidRDefault="005B42C9" w:rsidP="002068AC">
      <w:pPr>
        <w:spacing w:after="240"/>
        <w:jc w:val="both"/>
        <w:rPr>
          <w:rFonts w:ascii="Arial" w:eastAsia="Calibri" w:hAnsi="Arial" w:cs="Arial"/>
          <w:sz w:val="22"/>
          <w:szCs w:val="22"/>
        </w:rPr>
      </w:pPr>
      <w:r w:rsidRPr="00C24F00">
        <w:rPr>
          <w:rFonts w:ascii="Arial" w:eastAsia="Calibri" w:hAnsi="Arial" w:cs="Arial"/>
          <w:sz w:val="22"/>
          <w:szCs w:val="22"/>
        </w:rPr>
        <w:t xml:space="preserve">Langley, N. R., and MT Tersigni-Tarrant, eds. (2017) Forensic Anthropology:  A Comprehensive Introduction.  CRC Press, Boca Raton, FL. </w:t>
      </w:r>
    </w:p>
    <w:p w14:paraId="5FEE770E" w14:textId="77777777" w:rsidR="005B42C9" w:rsidRPr="005B42C9" w:rsidRDefault="005B42C9" w:rsidP="002068AC">
      <w:pPr>
        <w:jc w:val="both"/>
        <w:rPr>
          <w:rFonts w:ascii="Arial" w:eastAsia="Calibri" w:hAnsi="Arial" w:cs="Arial"/>
          <w:sz w:val="22"/>
          <w:szCs w:val="22"/>
        </w:rPr>
      </w:pPr>
    </w:p>
    <w:p w14:paraId="5A5A2F59" w14:textId="77777777" w:rsidR="005B42C9" w:rsidRPr="005B42C9" w:rsidRDefault="005B42C9" w:rsidP="002068AC">
      <w:pPr>
        <w:jc w:val="both"/>
        <w:rPr>
          <w:rFonts w:ascii="Arial" w:eastAsia="Calibri" w:hAnsi="Arial" w:cs="Arial"/>
          <w:sz w:val="22"/>
          <w:szCs w:val="22"/>
        </w:rPr>
      </w:pPr>
    </w:p>
    <w:p w14:paraId="50D74C50" w14:textId="77777777" w:rsidR="005B42C9" w:rsidRPr="005B42C9" w:rsidRDefault="005B42C9" w:rsidP="002068AC">
      <w:pPr>
        <w:jc w:val="both"/>
        <w:rPr>
          <w:rFonts w:ascii="Arial" w:eastAsia="Calibri" w:hAnsi="Arial" w:cs="Arial"/>
          <w:sz w:val="22"/>
          <w:szCs w:val="22"/>
        </w:rPr>
      </w:pPr>
    </w:p>
    <w:p w14:paraId="6E9770E0" w14:textId="77777777" w:rsidR="005B42C9" w:rsidRPr="005B42C9" w:rsidRDefault="005B42C9" w:rsidP="002068AC">
      <w:pPr>
        <w:jc w:val="both"/>
        <w:rPr>
          <w:rFonts w:ascii="Arial" w:eastAsia="Calibri" w:hAnsi="Arial" w:cs="Arial"/>
          <w:sz w:val="22"/>
          <w:szCs w:val="22"/>
        </w:rPr>
      </w:pPr>
    </w:p>
    <w:p w14:paraId="42D23D15" w14:textId="77777777" w:rsidR="005B42C9" w:rsidRPr="005B42C9" w:rsidRDefault="005B42C9" w:rsidP="002068AC">
      <w:pPr>
        <w:jc w:val="both"/>
        <w:rPr>
          <w:rFonts w:ascii="Arial" w:eastAsia="Calibri" w:hAnsi="Arial" w:cs="Arial"/>
          <w:sz w:val="22"/>
          <w:szCs w:val="22"/>
        </w:rPr>
      </w:pPr>
    </w:p>
    <w:p w14:paraId="167E2446" w14:textId="77777777" w:rsidR="005B42C9" w:rsidRPr="005B42C9" w:rsidRDefault="005B42C9" w:rsidP="002068AC">
      <w:pPr>
        <w:jc w:val="both"/>
        <w:rPr>
          <w:rFonts w:ascii="Arial" w:eastAsia="Calibri" w:hAnsi="Arial" w:cs="Arial"/>
          <w:sz w:val="22"/>
          <w:szCs w:val="22"/>
        </w:rPr>
      </w:pPr>
    </w:p>
    <w:p w14:paraId="00425C83" w14:textId="77777777" w:rsidR="005B42C9" w:rsidRPr="005B42C9" w:rsidRDefault="005B42C9" w:rsidP="002068AC">
      <w:pPr>
        <w:jc w:val="both"/>
        <w:rPr>
          <w:rFonts w:ascii="Arial" w:eastAsia="Calibri" w:hAnsi="Arial" w:cs="Arial"/>
          <w:sz w:val="22"/>
          <w:szCs w:val="22"/>
        </w:rPr>
      </w:pPr>
    </w:p>
    <w:p w14:paraId="0CE3C138" w14:textId="77777777" w:rsidR="005B42C9" w:rsidRPr="005B42C9" w:rsidRDefault="005B42C9" w:rsidP="002068AC">
      <w:pPr>
        <w:jc w:val="both"/>
        <w:rPr>
          <w:rFonts w:ascii="Arial" w:eastAsia="Calibri" w:hAnsi="Arial" w:cs="Arial"/>
          <w:sz w:val="22"/>
          <w:szCs w:val="22"/>
        </w:rPr>
      </w:pPr>
    </w:p>
    <w:p w14:paraId="18783A98" w14:textId="77777777" w:rsidR="005B42C9" w:rsidRPr="005B42C9" w:rsidRDefault="005B42C9" w:rsidP="002068AC">
      <w:pPr>
        <w:jc w:val="both"/>
        <w:rPr>
          <w:rFonts w:ascii="Arial" w:eastAsia="Calibri" w:hAnsi="Arial" w:cs="Arial"/>
          <w:sz w:val="22"/>
          <w:szCs w:val="22"/>
        </w:rPr>
      </w:pPr>
    </w:p>
    <w:p w14:paraId="576C9261" w14:textId="77777777" w:rsidR="005B42C9" w:rsidRPr="005B42C9" w:rsidRDefault="005B42C9" w:rsidP="002068AC">
      <w:pPr>
        <w:jc w:val="both"/>
        <w:rPr>
          <w:rFonts w:ascii="Arial" w:eastAsia="Calibri" w:hAnsi="Arial" w:cs="Arial"/>
          <w:sz w:val="22"/>
          <w:szCs w:val="22"/>
        </w:rPr>
      </w:pPr>
    </w:p>
    <w:p w14:paraId="7B387488" w14:textId="77777777" w:rsidR="005B42C9" w:rsidRPr="005B42C9" w:rsidRDefault="005B42C9" w:rsidP="002068AC">
      <w:pPr>
        <w:jc w:val="both"/>
        <w:rPr>
          <w:rFonts w:ascii="Arial" w:eastAsia="Calibri" w:hAnsi="Arial" w:cs="Arial"/>
          <w:sz w:val="22"/>
          <w:szCs w:val="22"/>
        </w:rPr>
      </w:pPr>
    </w:p>
    <w:p w14:paraId="3FDB6D1B" w14:textId="77777777" w:rsidR="005B42C9" w:rsidRPr="005B42C9" w:rsidRDefault="005B42C9" w:rsidP="002068AC">
      <w:pPr>
        <w:jc w:val="both"/>
        <w:rPr>
          <w:rFonts w:ascii="Arial" w:eastAsia="Calibri" w:hAnsi="Arial" w:cs="Arial"/>
          <w:sz w:val="22"/>
          <w:szCs w:val="22"/>
        </w:rPr>
      </w:pPr>
    </w:p>
    <w:p w14:paraId="5FF58DA2" w14:textId="77777777" w:rsidR="005B42C9" w:rsidRPr="005B42C9" w:rsidRDefault="005B42C9" w:rsidP="002068AC">
      <w:pPr>
        <w:jc w:val="both"/>
        <w:rPr>
          <w:rFonts w:ascii="Arial" w:eastAsia="Calibri" w:hAnsi="Arial" w:cs="Arial"/>
          <w:sz w:val="22"/>
          <w:szCs w:val="22"/>
        </w:rPr>
      </w:pPr>
    </w:p>
    <w:p w14:paraId="6A475E1C" w14:textId="77777777" w:rsidR="005B42C9" w:rsidRPr="005B42C9" w:rsidRDefault="005B42C9" w:rsidP="002068AC">
      <w:pPr>
        <w:jc w:val="both"/>
        <w:rPr>
          <w:rFonts w:ascii="Arial" w:eastAsia="Calibri" w:hAnsi="Arial" w:cs="Arial"/>
          <w:sz w:val="22"/>
          <w:szCs w:val="22"/>
        </w:rPr>
      </w:pPr>
    </w:p>
    <w:p w14:paraId="4EF24558" w14:textId="77777777" w:rsidR="005B42C9" w:rsidRPr="005B42C9" w:rsidRDefault="005B42C9" w:rsidP="002068AC">
      <w:pPr>
        <w:jc w:val="both"/>
        <w:rPr>
          <w:rFonts w:ascii="Arial" w:eastAsia="Calibri" w:hAnsi="Arial" w:cs="Arial"/>
          <w:sz w:val="22"/>
          <w:szCs w:val="22"/>
        </w:rPr>
      </w:pPr>
    </w:p>
    <w:p w14:paraId="3F5B0D65" w14:textId="77777777" w:rsidR="005B42C9" w:rsidRPr="005B42C9" w:rsidRDefault="005B42C9" w:rsidP="002068AC">
      <w:pPr>
        <w:jc w:val="both"/>
        <w:rPr>
          <w:rFonts w:ascii="Arial" w:eastAsia="Calibri" w:hAnsi="Arial" w:cs="Arial"/>
          <w:sz w:val="22"/>
          <w:szCs w:val="22"/>
        </w:rPr>
      </w:pPr>
    </w:p>
    <w:p w14:paraId="231DC006" w14:textId="77777777" w:rsidR="005B42C9" w:rsidRPr="005B42C9" w:rsidRDefault="005B42C9" w:rsidP="002068AC">
      <w:pPr>
        <w:jc w:val="both"/>
        <w:rPr>
          <w:rFonts w:ascii="Arial" w:eastAsia="Calibri" w:hAnsi="Arial" w:cs="Arial"/>
          <w:sz w:val="22"/>
          <w:szCs w:val="22"/>
        </w:rPr>
      </w:pPr>
    </w:p>
    <w:p w14:paraId="475C61F9" w14:textId="77777777" w:rsidR="005B42C9" w:rsidRDefault="005B42C9" w:rsidP="002068AC">
      <w:pPr>
        <w:jc w:val="both"/>
        <w:rPr>
          <w:rFonts w:ascii="Arial" w:eastAsia="Calibri" w:hAnsi="Arial" w:cs="Arial"/>
          <w:sz w:val="22"/>
          <w:szCs w:val="22"/>
        </w:rPr>
      </w:pPr>
    </w:p>
    <w:p w14:paraId="57DEF5F5" w14:textId="77777777" w:rsidR="005B42C9" w:rsidRDefault="005B42C9" w:rsidP="002068AC">
      <w:pPr>
        <w:jc w:val="both"/>
        <w:rPr>
          <w:rFonts w:ascii="Arial" w:eastAsia="Calibri" w:hAnsi="Arial" w:cs="Arial"/>
          <w:sz w:val="22"/>
          <w:szCs w:val="22"/>
        </w:rPr>
      </w:pPr>
    </w:p>
    <w:p w14:paraId="3A86A843" w14:textId="77777777" w:rsidR="005B42C9" w:rsidRDefault="005B42C9" w:rsidP="002068AC">
      <w:pPr>
        <w:jc w:val="both"/>
        <w:rPr>
          <w:rFonts w:ascii="Arial" w:eastAsia="Calibri" w:hAnsi="Arial" w:cs="Arial"/>
          <w:sz w:val="22"/>
          <w:szCs w:val="22"/>
        </w:rPr>
      </w:pPr>
    </w:p>
    <w:p w14:paraId="0F4BE362" w14:textId="77777777" w:rsidR="005B42C9" w:rsidRDefault="005B42C9" w:rsidP="002068AC">
      <w:pPr>
        <w:jc w:val="both"/>
        <w:rPr>
          <w:rFonts w:ascii="Arial" w:eastAsia="Calibri" w:hAnsi="Arial" w:cs="Arial"/>
          <w:sz w:val="22"/>
          <w:szCs w:val="22"/>
        </w:rPr>
      </w:pPr>
    </w:p>
    <w:p w14:paraId="6DE92004" w14:textId="77777777" w:rsidR="005B42C9" w:rsidRDefault="005B42C9" w:rsidP="002068AC">
      <w:pPr>
        <w:jc w:val="both"/>
        <w:rPr>
          <w:rFonts w:ascii="Arial" w:eastAsia="Calibri" w:hAnsi="Arial" w:cs="Arial"/>
          <w:sz w:val="22"/>
          <w:szCs w:val="22"/>
        </w:rPr>
      </w:pPr>
    </w:p>
    <w:p w14:paraId="3C5FB4D0" w14:textId="77777777" w:rsidR="005B42C9" w:rsidRDefault="005B42C9" w:rsidP="002068AC">
      <w:pPr>
        <w:jc w:val="both"/>
        <w:rPr>
          <w:rFonts w:ascii="Arial" w:eastAsia="Calibri" w:hAnsi="Arial" w:cs="Arial"/>
          <w:sz w:val="22"/>
          <w:szCs w:val="22"/>
        </w:rPr>
      </w:pPr>
    </w:p>
    <w:p w14:paraId="5E0B8426" w14:textId="77777777" w:rsidR="005B42C9" w:rsidRDefault="005B42C9" w:rsidP="002068AC">
      <w:pPr>
        <w:jc w:val="both"/>
        <w:rPr>
          <w:rFonts w:ascii="Arial" w:eastAsia="Calibri" w:hAnsi="Arial" w:cs="Arial"/>
          <w:sz w:val="22"/>
          <w:szCs w:val="22"/>
        </w:rPr>
      </w:pPr>
    </w:p>
    <w:p w14:paraId="4462D96F" w14:textId="77777777" w:rsidR="005B42C9" w:rsidRPr="005B42C9" w:rsidRDefault="005B42C9" w:rsidP="002068AC">
      <w:pPr>
        <w:jc w:val="both"/>
        <w:rPr>
          <w:rFonts w:ascii="Arial" w:eastAsia="Calibri" w:hAnsi="Arial" w:cs="Arial"/>
          <w:sz w:val="22"/>
          <w:szCs w:val="22"/>
        </w:rPr>
      </w:pPr>
    </w:p>
    <w:p w14:paraId="0867E3A6" w14:textId="6AA49279" w:rsidR="005B42C9" w:rsidRPr="00F80EEE" w:rsidRDefault="005B42C9" w:rsidP="002068AC">
      <w:pPr>
        <w:jc w:val="both"/>
        <w:rPr>
          <w:rFonts w:ascii="Arial" w:eastAsia="Calibri" w:hAnsi="Arial" w:cs="Arial"/>
          <w:b/>
          <w:bCs/>
        </w:rPr>
      </w:pPr>
      <w:r w:rsidRPr="00F80EEE">
        <w:rPr>
          <w:rFonts w:ascii="Arial" w:eastAsia="Calibri" w:hAnsi="Arial" w:cs="Arial"/>
          <w:b/>
          <w:bCs/>
        </w:rPr>
        <w:lastRenderedPageBreak/>
        <w:t>1. Anatomy (gross anatomy, human osteology, comparative osteology, skeletal biology,</w:t>
      </w:r>
      <w:r w:rsidR="00F80EEE">
        <w:rPr>
          <w:rFonts w:ascii="Arial" w:eastAsia="Calibri" w:hAnsi="Arial" w:cs="Arial"/>
          <w:b/>
          <w:bCs/>
        </w:rPr>
        <w:t xml:space="preserve"> </w:t>
      </w:r>
      <w:r w:rsidRPr="00F80EEE">
        <w:rPr>
          <w:rFonts w:ascii="Arial" w:eastAsia="Calibri" w:hAnsi="Arial" w:cs="Arial"/>
          <w:b/>
          <w:bCs/>
        </w:rPr>
        <w:t xml:space="preserve">histology) </w:t>
      </w:r>
    </w:p>
    <w:p w14:paraId="3208CADB" w14:textId="77777777" w:rsidR="00F80EEE" w:rsidRDefault="00F80EEE" w:rsidP="002068AC">
      <w:pPr>
        <w:jc w:val="both"/>
        <w:rPr>
          <w:rFonts w:ascii="Arial" w:eastAsia="Calibri" w:hAnsi="Arial" w:cs="Arial"/>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773"/>
        <w:gridCol w:w="8567"/>
      </w:tblGrid>
      <w:tr w:rsidR="00F80EEE" w:rsidRPr="00F80EEE" w14:paraId="356BC14C" w14:textId="77777777" w:rsidTr="00EB574F">
        <w:trPr>
          <w:trHeight w:val="366"/>
        </w:trPr>
        <w:tc>
          <w:tcPr>
            <w:tcW w:w="0" w:type="auto"/>
            <w:tcBorders>
              <w:top w:val="single" w:sz="8" w:space="0" w:color="000000"/>
              <w:left w:val="single" w:sz="8" w:space="0" w:color="000000"/>
              <w:bottom w:val="single" w:sz="8" w:space="0" w:color="000000"/>
              <w:right w:val="single" w:sz="8" w:space="0" w:color="000000"/>
            </w:tcBorders>
            <w:tcMar>
              <w:top w:w="99" w:type="dxa"/>
              <w:left w:w="99" w:type="dxa"/>
              <w:bottom w:w="99" w:type="dxa"/>
              <w:right w:w="99" w:type="dxa"/>
            </w:tcMar>
            <w:vAlign w:val="center"/>
            <w:hideMark/>
          </w:tcPr>
          <w:p w14:paraId="47EDD65F" w14:textId="5A2D49B0" w:rsidR="00F80EEE" w:rsidRPr="00F80EEE" w:rsidRDefault="00F80EEE" w:rsidP="002068AC">
            <w:pPr>
              <w:jc w:val="both"/>
              <w:rPr>
                <w:rFonts w:ascii="Arial" w:eastAsia="Calibri" w:hAnsi="Arial" w:cs="Arial"/>
                <w:sz w:val="22"/>
                <w:szCs w:val="22"/>
              </w:rPr>
            </w:pPr>
            <w:r w:rsidRPr="00F80EEE">
              <w:rPr>
                <w:rFonts w:ascii="Arial" w:eastAsia="Calibri" w:hAnsi="Arial" w:cs="Arial"/>
                <w:sz w:val="22"/>
                <w:szCs w:val="22"/>
              </w:rPr>
              <w:t>A1.1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A45DE3F" w14:textId="77777777" w:rsidR="00F80EEE" w:rsidRPr="00F80EEE" w:rsidRDefault="00F80EEE" w:rsidP="002068AC">
            <w:pPr>
              <w:jc w:val="both"/>
              <w:rPr>
                <w:rFonts w:ascii="Arial" w:eastAsia="Calibri" w:hAnsi="Arial" w:cs="Arial"/>
                <w:sz w:val="22"/>
                <w:szCs w:val="22"/>
              </w:rPr>
            </w:pPr>
            <w:r w:rsidRPr="00F80EEE">
              <w:rPr>
                <w:rFonts w:ascii="Arial" w:eastAsia="Calibri" w:hAnsi="Arial" w:cs="Arial"/>
                <w:sz w:val="22"/>
                <w:szCs w:val="22"/>
              </w:rPr>
              <w:t>Differentiate between osseous and non-osseous material</w:t>
            </w:r>
          </w:p>
        </w:tc>
      </w:tr>
      <w:tr w:rsidR="00F80EEE" w:rsidRPr="00F80EEE" w14:paraId="2EF5EEE3" w14:textId="77777777" w:rsidTr="00EB574F">
        <w:trPr>
          <w:trHeight w:val="366"/>
        </w:trPr>
        <w:tc>
          <w:tcPr>
            <w:tcW w:w="0" w:type="auto"/>
            <w:tcBorders>
              <w:top w:val="single" w:sz="8" w:space="0" w:color="000000"/>
              <w:left w:val="single" w:sz="8" w:space="0" w:color="000000"/>
              <w:bottom w:val="single" w:sz="8" w:space="0" w:color="000000"/>
              <w:right w:val="single" w:sz="8" w:space="0" w:color="000000"/>
            </w:tcBorders>
            <w:tcMar>
              <w:top w:w="99" w:type="dxa"/>
              <w:left w:w="99" w:type="dxa"/>
              <w:bottom w:w="99" w:type="dxa"/>
              <w:right w:w="99" w:type="dxa"/>
            </w:tcMar>
            <w:vAlign w:val="center"/>
            <w:hideMark/>
          </w:tcPr>
          <w:p w14:paraId="01E3531C" w14:textId="1670CD64" w:rsidR="00F80EEE" w:rsidRPr="00F80EEE" w:rsidRDefault="00F80EEE" w:rsidP="002068AC">
            <w:pPr>
              <w:jc w:val="both"/>
              <w:rPr>
                <w:rFonts w:ascii="Arial" w:eastAsia="Calibri" w:hAnsi="Arial" w:cs="Arial"/>
                <w:sz w:val="22"/>
                <w:szCs w:val="22"/>
              </w:rPr>
            </w:pPr>
            <w:r w:rsidRPr="00F80EEE">
              <w:rPr>
                <w:rFonts w:ascii="Arial" w:eastAsia="Calibri" w:hAnsi="Arial" w:cs="Arial"/>
                <w:sz w:val="22"/>
                <w:szCs w:val="22"/>
              </w:rPr>
              <w:t>A1.2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F80C20" w14:textId="77777777" w:rsidR="00F80EEE" w:rsidRPr="00F80EEE" w:rsidRDefault="00F80EEE" w:rsidP="002068AC">
            <w:pPr>
              <w:jc w:val="both"/>
              <w:rPr>
                <w:rFonts w:ascii="Arial" w:eastAsia="Calibri" w:hAnsi="Arial" w:cs="Arial"/>
                <w:sz w:val="22"/>
                <w:szCs w:val="22"/>
              </w:rPr>
            </w:pPr>
            <w:r w:rsidRPr="00F80EEE">
              <w:rPr>
                <w:rFonts w:ascii="Arial" w:eastAsia="Calibri" w:hAnsi="Arial" w:cs="Arial"/>
                <w:sz w:val="22"/>
                <w:szCs w:val="22"/>
              </w:rPr>
              <w:t>Know bone composition and basic biomechanical properties of bone</w:t>
            </w:r>
          </w:p>
        </w:tc>
      </w:tr>
      <w:tr w:rsidR="00F80EEE" w:rsidRPr="00F80EEE" w14:paraId="39F013D2" w14:textId="77777777" w:rsidTr="00EB574F">
        <w:trPr>
          <w:trHeight w:val="288"/>
        </w:trPr>
        <w:tc>
          <w:tcPr>
            <w:tcW w:w="0" w:type="auto"/>
            <w:tcBorders>
              <w:top w:val="single" w:sz="8" w:space="0" w:color="000000"/>
              <w:left w:val="single" w:sz="8" w:space="0" w:color="000000"/>
              <w:bottom w:val="single" w:sz="8" w:space="0" w:color="000000"/>
              <w:right w:val="single" w:sz="8" w:space="0" w:color="000000"/>
            </w:tcBorders>
            <w:tcMar>
              <w:top w:w="99" w:type="dxa"/>
              <w:left w:w="99" w:type="dxa"/>
              <w:bottom w:w="99" w:type="dxa"/>
              <w:right w:w="99" w:type="dxa"/>
            </w:tcMar>
            <w:vAlign w:val="center"/>
            <w:hideMark/>
          </w:tcPr>
          <w:p w14:paraId="2BDA3AF8" w14:textId="008430C0" w:rsidR="00F80EEE" w:rsidRPr="00F80EEE" w:rsidRDefault="00F80EEE" w:rsidP="002068AC">
            <w:pPr>
              <w:jc w:val="both"/>
              <w:rPr>
                <w:rFonts w:ascii="Arial" w:eastAsia="Calibri" w:hAnsi="Arial" w:cs="Arial"/>
                <w:sz w:val="22"/>
                <w:szCs w:val="22"/>
              </w:rPr>
            </w:pPr>
            <w:r w:rsidRPr="00F80EEE">
              <w:rPr>
                <w:rFonts w:ascii="Arial" w:eastAsia="Calibri" w:hAnsi="Arial" w:cs="Arial"/>
                <w:sz w:val="22"/>
                <w:szCs w:val="22"/>
              </w:rPr>
              <w:t>A1.3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E1515BE" w14:textId="77777777" w:rsidR="00F80EEE" w:rsidRPr="00F80EEE" w:rsidRDefault="00F80EEE" w:rsidP="002068AC">
            <w:pPr>
              <w:jc w:val="both"/>
              <w:rPr>
                <w:rFonts w:ascii="Arial" w:eastAsia="Calibri" w:hAnsi="Arial" w:cs="Arial"/>
                <w:sz w:val="22"/>
                <w:szCs w:val="22"/>
              </w:rPr>
            </w:pPr>
            <w:r w:rsidRPr="00F80EEE">
              <w:rPr>
                <w:rFonts w:ascii="Arial" w:eastAsia="Calibri" w:hAnsi="Arial" w:cs="Arial"/>
                <w:sz w:val="22"/>
                <w:szCs w:val="22"/>
              </w:rPr>
              <w:t>Identify and side elements and teeth (complete and fragmentary, fetal through adult age)</w:t>
            </w:r>
          </w:p>
        </w:tc>
      </w:tr>
      <w:tr w:rsidR="00F80EEE" w:rsidRPr="00F80EEE" w14:paraId="3F4F7A58" w14:textId="77777777" w:rsidTr="00EB574F">
        <w:trPr>
          <w:trHeight w:val="288"/>
        </w:trPr>
        <w:tc>
          <w:tcPr>
            <w:tcW w:w="0" w:type="auto"/>
            <w:tcBorders>
              <w:top w:val="single" w:sz="8" w:space="0" w:color="000000"/>
              <w:left w:val="single" w:sz="8" w:space="0" w:color="000000"/>
              <w:bottom w:val="single" w:sz="8" w:space="0" w:color="000000"/>
              <w:right w:val="single" w:sz="8" w:space="0" w:color="000000"/>
            </w:tcBorders>
            <w:tcMar>
              <w:top w:w="99" w:type="dxa"/>
              <w:left w:w="99" w:type="dxa"/>
              <w:bottom w:w="99" w:type="dxa"/>
              <w:right w:w="99" w:type="dxa"/>
            </w:tcMar>
            <w:vAlign w:val="center"/>
            <w:hideMark/>
          </w:tcPr>
          <w:p w14:paraId="4A352FD6" w14:textId="6A4EEACC" w:rsidR="00F80EEE" w:rsidRPr="00F80EEE" w:rsidRDefault="00F80EEE" w:rsidP="002068AC">
            <w:pPr>
              <w:jc w:val="both"/>
              <w:rPr>
                <w:rFonts w:ascii="Arial" w:eastAsia="Calibri" w:hAnsi="Arial" w:cs="Arial"/>
                <w:sz w:val="22"/>
                <w:szCs w:val="22"/>
              </w:rPr>
            </w:pPr>
            <w:r w:rsidRPr="00F80EEE">
              <w:rPr>
                <w:rFonts w:ascii="Arial" w:eastAsia="Calibri" w:hAnsi="Arial" w:cs="Arial"/>
                <w:sz w:val="22"/>
                <w:szCs w:val="22"/>
              </w:rPr>
              <w:t>A1.4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57908B2" w14:textId="77777777" w:rsidR="00F80EEE" w:rsidRPr="00F80EEE" w:rsidRDefault="00F80EEE" w:rsidP="002068AC">
            <w:pPr>
              <w:jc w:val="both"/>
              <w:rPr>
                <w:rFonts w:ascii="Arial" w:eastAsia="Calibri" w:hAnsi="Arial" w:cs="Arial"/>
                <w:sz w:val="22"/>
                <w:szCs w:val="22"/>
              </w:rPr>
            </w:pPr>
            <w:r w:rsidRPr="00F80EEE">
              <w:rPr>
                <w:rFonts w:ascii="Arial" w:eastAsia="Calibri" w:hAnsi="Arial" w:cs="Arial"/>
                <w:sz w:val="22"/>
                <w:szCs w:val="22"/>
              </w:rPr>
              <w:t>List differences among and be able to interpret tooth numbering systems</w:t>
            </w:r>
          </w:p>
        </w:tc>
      </w:tr>
      <w:tr w:rsidR="00F80EEE" w:rsidRPr="00F80EEE" w14:paraId="38C2160C" w14:textId="77777777" w:rsidTr="00EB574F">
        <w:trPr>
          <w:trHeight w:val="288"/>
        </w:trPr>
        <w:tc>
          <w:tcPr>
            <w:tcW w:w="0" w:type="auto"/>
            <w:tcBorders>
              <w:top w:val="single" w:sz="8" w:space="0" w:color="000000"/>
              <w:left w:val="single" w:sz="8" w:space="0" w:color="000000"/>
              <w:bottom w:val="single" w:sz="8" w:space="0" w:color="000000"/>
              <w:right w:val="single" w:sz="8" w:space="0" w:color="000000"/>
            </w:tcBorders>
            <w:tcMar>
              <w:top w:w="99" w:type="dxa"/>
              <w:left w:w="99" w:type="dxa"/>
              <w:bottom w:w="99" w:type="dxa"/>
              <w:right w:w="99" w:type="dxa"/>
            </w:tcMar>
            <w:vAlign w:val="center"/>
            <w:hideMark/>
          </w:tcPr>
          <w:p w14:paraId="6715482D" w14:textId="77777777" w:rsidR="00F80EEE" w:rsidRPr="00F80EEE" w:rsidRDefault="00F80EEE" w:rsidP="002068AC">
            <w:pPr>
              <w:jc w:val="both"/>
              <w:rPr>
                <w:rFonts w:ascii="Arial" w:eastAsia="Calibri" w:hAnsi="Arial" w:cs="Arial"/>
                <w:sz w:val="22"/>
                <w:szCs w:val="22"/>
              </w:rPr>
            </w:pPr>
            <w:r w:rsidRPr="00F80EEE">
              <w:rPr>
                <w:rFonts w:ascii="Arial" w:eastAsia="Calibri" w:hAnsi="Arial" w:cs="Arial"/>
                <w:sz w:val="22"/>
                <w:szCs w:val="22"/>
              </w:rPr>
              <w:t>A1.5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7EC7C1" w14:textId="1499855F" w:rsidR="00F80EEE" w:rsidRPr="00F80EEE" w:rsidRDefault="00F80EEE" w:rsidP="002068AC">
            <w:pPr>
              <w:jc w:val="both"/>
              <w:rPr>
                <w:rFonts w:ascii="Arial" w:eastAsia="Calibri" w:hAnsi="Arial" w:cs="Arial"/>
                <w:sz w:val="22"/>
                <w:szCs w:val="22"/>
              </w:rPr>
            </w:pPr>
            <w:r w:rsidRPr="00F80EEE">
              <w:rPr>
                <w:rFonts w:ascii="Arial" w:eastAsia="Calibri" w:hAnsi="Arial" w:cs="Arial"/>
                <w:sz w:val="22"/>
                <w:szCs w:val="22"/>
              </w:rPr>
              <w:t>Be familiar with landmark definitions and identify locations (landmarks, muscle attachments, protuberances, etc.)</w:t>
            </w:r>
          </w:p>
        </w:tc>
      </w:tr>
      <w:tr w:rsidR="00F80EEE" w:rsidRPr="00F80EEE" w14:paraId="58977E27" w14:textId="77777777" w:rsidTr="00EB574F">
        <w:trPr>
          <w:trHeight w:val="288"/>
        </w:trPr>
        <w:tc>
          <w:tcPr>
            <w:tcW w:w="0" w:type="auto"/>
            <w:tcBorders>
              <w:top w:val="single" w:sz="8" w:space="0" w:color="000000"/>
              <w:left w:val="single" w:sz="8" w:space="0" w:color="000000"/>
              <w:bottom w:val="single" w:sz="8" w:space="0" w:color="000000"/>
              <w:right w:val="single" w:sz="8" w:space="0" w:color="000000"/>
            </w:tcBorders>
            <w:tcMar>
              <w:top w:w="99" w:type="dxa"/>
              <w:left w:w="99" w:type="dxa"/>
              <w:bottom w:w="99" w:type="dxa"/>
              <w:right w:w="99" w:type="dxa"/>
            </w:tcMar>
            <w:vAlign w:val="center"/>
            <w:hideMark/>
          </w:tcPr>
          <w:p w14:paraId="08D4A986" w14:textId="70928506" w:rsidR="00F80EEE" w:rsidRPr="00F80EEE" w:rsidRDefault="00F80EEE" w:rsidP="002068AC">
            <w:pPr>
              <w:jc w:val="both"/>
              <w:rPr>
                <w:rFonts w:ascii="Arial" w:eastAsia="Calibri" w:hAnsi="Arial" w:cs="Arial"/>
                <w:sz w:val="22"/>
                <w:szCs w:val="22"/>
              </w:rPr>
            </w:pPr>
            <w:r w:rsidRPr="00F80EEE">
              <w:rPr>
                <w:rFonts w:ascii="Arial" w:eastAsia="Calibri" w:hAnsi="Arial" w:cs="Arial"/>
                <w:sz w:val="22"/>
                <w:szCs w:val="22"/>
              </w:rPr>
              <w:t>A1.6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782104" w14:textId="77777777" w:rsidR="00F80EEE" w:rsidRPr="00F80EEE" w:rsidRDefault="00F80EEE" w:rsidP="002068AC">
            <w:pPr>
              <w:jc w:val="both"/>
              <w:rPr>
                <w:rFonts w:ascii="Arial" w:eastAsia="Calibri" w:hAnsi="Arial" w:cs="Arial"/>
                <w:sz w:val="22"/>
                <w:szCs w:val="22"/>
              </w:rPr>
            </w:pPr>
            <w:r w:rsidRPr="00F80EEE">
              <w:rPr>
                <w:rFonts w:ascii="Arial" w:eastAsia="Calibri" w:hAnsi="Arial" w:cs="Arial"/>
                <w:sz w:val="22"/>
                <w:szCs w:val="22"/>
              </w:rPr>
              <w:t>Collect osteometric data (take measurements)</w:t>
            </w:r>
          </w:p>
        </w:tc>
      </w:tr>
      <w:tr w:rsidR="00F80EEE" w:rsidRPr="00F80EEE" w14:paraId="54D3FA93" w14:textId="77777777" w:rsidTr="00EB574F">
        <w:trPr>
          <w:trHeight w:val="288"/>
        </w:trPr>
        <w:tc>
          <w:tcPr>
            <w:tcW w:w="0" w:type="auto"/>
            <w:tcBorders>
              <w:top w:val="single" w:sz="8" w:space="0" w:color="000000"/>
              <w:left w:val="single" w:sz="8" w:space="0" w:color="000000"/>
              <w:bottom w:val="single" w:sz="8" w:space="0" w:color="000000"/>
              <w:right w:val="single" w:sz="8" w:space="0" w:color="000000"/>
            </w:tcBorders>
            <w:tcMar>
              <w:top w:w="99" w:type="dxa"/>
              <w:left w:w="99" w:type="dxa"/>
              <w:bottom w:w="99" w:type="dxa"/>
              <w:right w:w="99" w:type="dxa"/>
            </w:tcMar>
            <w:vAlign w:val="center"/>
            <w:hideMark/>
          </w:tcPr>
          <w:p w14:paraId="46CF86FE" w14:textId="40063895" w:rsidR="00F80EEE" w:rsidRPr="00F80EEE" w:rsidRDefault="00F80EEE" w:rsidP="002068AC">
            <w:pPr>
              <w:jc w:val="both"/>
              <w:rPr>
                <w:rFonts w:ascii="Arial" w:eastAsia="Calibri" w:hAnsi="Arial" w:cs="Arial"/>
                <w:sz w:val="22"/>
                <w:szCs w:val="22"/>
              </w:rPr>
            </w:pPr>
            <w:r w:rsidRPr="00F80EEE">
              <w:rPr>
                <w:rFonts w:ascii="Arial" w:eastAsia="Calibri" w:hAnsi="Arial" w:cs="Arial"/>
                <w:sz w:val="22"/>
                <w:szCs w:val="22"/>
              </w:rPr>
              <w:t>A1.7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7A9C89" w14:textId="77777777" w:rsidR="00F80EEE" w:rsidRPr="00F80EEE" w:rsidRDefault="00F80EEE" w:rsidP="002068AC">
            <w:pPr>
              <w:jc w:val="both"/>
              <w:rPr>
                <w:rFonts w:ascii="Arial" w:eastAsia="Calibri" w:hAnsi="Arial" w:cs="Arial"/>
                <w:sz w:val="22"/>
                <w:szCs w:val="22"/>
              </w:rPr>
            </w:pPr>
            <w:r w:rsidRPr="00F80EEE">
              <w:rPr>
                <w:rFonts w:ascii="Arial" w:eastAsia="Calibri" w:hAnsi="Arial" w:cs="Arial"/>
                <w:sz w:val="22"/>
                <w:szCs w:val="22"/>
              </w:rPr>
              <w:t>Differentiate human and nonhuman remains (complete and fragmentary)</w:t>
            </w:r>
          </w:p>
        </w:tc>
      </w:tr>
      <w:tr w:rsidR="00F80EEE" w:rsidRPr="00F80EEE" w14:paraId="6ACFCC24" w14:textId="77777777" w:rsidTr="00EB574F">
        <w:trPr>
          <w:trHeight w:val="288"/>
        </w:trPr>
        <w:tc>
          <w:tcPr>
            <w:tcW w:w="0" w:type="auto"/>
            <w:tcBorders>
              <w:top w:val="single" w:sz="8" w:space="0" w:color="000000"/>
              <w:left w:val="single" w:sz="8" w:space="0" w:color="000000"/>
              <w:bottom w:val="single" w:sz="8" w:space="0" w:color="000000"/>
              <w:right w:val="single" w:sz="8" w:space="0" w:color="000000"/>
            </w:tcBorders>
            <w:tcMar>
              <w:top w:w="99" w:type="dxa"/>
              <w:left w:w="99" w:type="dxa"/>
              <w:bottom w:w="99" w:type="dxa"/>
              <w:right w:w="99" w:type="dxa"/>
            </w:tcMar>
            <w:vAlign w:val="center"/>
            <w:hideMark/>
          </w:tcPr>
          <w:p w14:paraId="6340CC31" w14:textId="77777777" w:rsidR="00F80EEE" w:rsidRPr="00F80EEE" w:rsidRDefault="00F80EEE" w:rsidP="002068AC">
            <w:pPr>
              <w:jc w:val="both"/>
              <w:rPr>
                <w:rFonts w:ascii="Arial" w:eastAsia="Calibri" w:hAnsi="Arial" w:cs="Arial"/>
                <w:sz w:val="22"/>
                <w:szCs w:val="22"/>
              </w:rPr>
            </w:pPr>
            <w:r w:rsidRPr="00F80EEE">
              <w:rPr>
                <w:rFonts w:ascii="Arial" w:eastAsia="Calibri" w:hAnsi="Arial" w:cs="Arial"/>
                <w:sz w:val="22"/>
                <w:szCs w:val="22"/>
              </w:rPr>
              <w:t>A1.8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E65821" w14:textId="609E52BE" w:rsidR="00F80EEE" w:rsidRPr="00F80EEE" w:rsidRDefault="00F80EEE" w:rsidP="002068AC">
            <w:pPr>
              <w:jc w:val="both"/>
              <w:rPr>
                <w:rFonts w:ascii="Arial" w:eastAsia="Calibri" w:hAnsi="Arial" w:cs="Arial"/>
                <w:sz w:val="22"/>
                <w:szCs w:val="22"/>
              </w:rPr>
            </w:pPr>
            <w:r w:rsidRPr="00F80EEE">
              <w:rPr>
                <w:rFonts w:ascii="Arial" w:eastAsia="Calibri" w:hAnsi="Arial" w:cs="Arial"/>
                <w:sz w:val="22"/>
                <w:szCs w:val="22"/>
              </w:rPr>
              <w:t>Describe skeletal growth and development (endochondral vs. intramembranous, epiphyseal union, dental development and eruption)</w:t>
            </w:r>
          </w:p>
        </w:tc>
      </w:tr>
      <w:tr w:rsidR="00F80EEE" w:rsidRPr="00F80EEE" w14:paraId="030F551F" w14:textId="77777777" w:rsidTr="00EB574F">
        <w:trPr>
          <w:trHeight w:val="288"/>
        </w:trPr>
        <w:tc>
          <w:tcPr>
            <w:tcW w:w="0" w:type="auto"/>
            <w:tcBorders>
              <w:top w:val="single" w:sz="8" w:space="0" w:color="000000"/>
              <w:left w:val="single" w:sz="8" w:space="0" w:color="000000"/>
              <w:bottom w:val="single" w:sz="8" w:space="0" w:color="000000"/>
              <w:right w:val="single" w:sz="8" w:space="0" w:color="000000"/>
            </w:tcBorders>
            <w:tcMar>
              <w:top w:w="99" w:type="dxa"/>
              <w:left w:w="99" w:type="dxa"/>
              <w:bottom w:w="99" w:type="dxa"/>
              <w:right w:w="99" w:type="dxa"/>
            </w:tcMar>
            <w:vAlign w:val="center"/>
            <w:hideMark/>
          </w:tcPr>
          <w:p w14:paraId="40D77F55" w14:textId="49B57A47" w:rsidR="00F80EEE" w:rsidRPr="00F80EEE" w:rsidRDefault="00F80EEE" w:rsidP="002068AC">
            <w:pPr>
              <w:jc w:val="both"/>
              <w:rPr>
                <w:rFonts w:ascii="Arial" w:eastAsia="Calibri" w:hAnsi="Arial" w:cs="Arial"/>
                <w:sz w:val="22"/>
                <w:szCs w:val="22"/>
              </w:rPr>
            </w:pPr>
            <w:r w:rsidRPr="00F80EEE">
              <w:rPr>
                <w:rFonts w:ascii="Arial" w:eastAsia="Calibri" w:hAnsi="Arial" w:cs="Arial"/>
                <w:sz w:val="22"/>
                <w:szCs w:val="22"/>
              </w:rPr>
              <w:t>A1.9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3CBC44" w14:textId="77777777" w:rsidR="00F80EEE" w:rsidRPr="00F80EEE" w:rsidRDefault="00F80EEE" w:rsidP="002068AC">
            <w:pPr>
              <w:jc w:val="both"/>
              <w:rPr>
                <w:rFonts w:ascii="Arial" w:eastAsia="Calibri" w:hAnsi="Arial" w:cs="Arial"/>
                <w:sz w:val="22"/>
                <w:szCs w:val="22"/>
              </w:rPr>
            </w:pPr>
            <w:r w:rsidRPr="00F80EEE">
              <w:rPr>
                <w:rFonts w:ascii="Arial" w:eastAsia="Calibri" w:hAnsi="Arial" w:cs="Arial"/>
                <w:sz w:val="22"/>
                <w:szCs w:val="22"/>
              </w:rPr>
              <w:t>Recognize histological features in bone</w:t>
            </w:r>
          </w:p>
        </w:tc>
      </w:tr>
      <w:tr w:rsidR="00F80EEE" w:rsidRPr="00F80EEE" w14:paraId="7AFDA789" w14:textId="77777777" w:rsidTr="00EB574F">
        <w:trPr>
          <w:trHeight w:val="288"/>
        </w:trPr>
        <w:tc>
          <w:tcPr>
            <w:tcW w:w="0" w:type="auto"/>
            <w:tcBorders>
              <w:top w:val="single" w:sz="8" w:space="0" w:color="000000"/>
              <w:left w:val="single" w:sz="8" w:space="0" w:color="000000"/>
              <w:bottom w:val="single" w:sz="8" w:space="0" w:color="000000"/>
              <w:right w:val="single" w:sz="8" w:space="0" w:color="000000"/>
            </w:tcBorders>
            <w:tcMar>
              <w:top w:w="99" w:type="dxa"/>
              <w:left w:w="99" w:type="dxa"/>
              <w:bottom w:w="99" w:type="dxa"/>
              <w:right w:w="99" w:type="dxa"/>
            </w:tcMar>
            <w:vAlign w:val="center"/>
            <w:hideMark/>
          </w:tcPr>
          <w:p w14:paraId="7E41469F" w14:textId="5220E0F1" w:rsidR="00F80EEE" w:rsidRPr="00F80EEE" w:rsidRDefault="00F80EEE" w:rsidP="002068AC">
            <w:pPr>
              <w:jc w:val="both"/>
              <w:rPr>
                <w:rFonts w:ascii="Arial" w:eastAsia="Calibri" w:hAnsi="Arial" w:cs="Arial"/>
                <w:sz w:val="22"/>
                <w:szCs w:val="22"/>
              </w:rPr>
            </w:pPr>
            <w:r w:rsidRPr="00F80EEE">
              <w:rPr>
                <w:rFonts w:ascii="Arial" w:eastAsia="Calibri" w:hAnsi="Arial" w:cs="Arial"/>
                <w:sz w:val="22"/>
                <w:szCs w:val="22"/>
              </w:rPr>
              <w:t>A1.10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3F4318" w14:textId="77777777" w:rsidR="00F80EEE" w:rsidRPr="00F80EEE" w:rsidRDefault="00F80EEE" w:rsidP="002068AC">
            <w:pPr>
              <w:jc w:val="both"/>
              <w:rPr>
                <w:rFonts w:ascii="Arial" w:eastAsia="Calibri" w:hAnsi="Arial" w:cs="Arial"/>
                <w:sz w:val="22"/>
                <w:szCs w:val="22"/>
              </w:rPr>
            </w:pPr>
            <w:r w:rsidRPr="00F80EEE">
              <w:rPr>
                <w:rFonts w:ascii="Arial" w:eastAsia="Calibri" w:hAnsi="Arial" w:cs="Arial"/>
                <w:sz w:val="22"/>
                <w:szCs w:val="22"/>
              </w:rPr>
              <w:t>Explain the processes of modeling/remodeling, including the cell types involved in these processes</w:t>
            </w:r>
          </w:p>
        </w:tc>
      </w:tr>
      <w:tr w:rsidR="00F80EEE" w:rsidRPr="00F80EEE" w14:paraId="7E20A769" w14:textId="77777777" w:rsidTr="00EB574F">
        <w:trPr>
          <w:trHeight w:val="288"/>
        </w:trPr>
        <w:tc>
          <w:tcPr>
            <w:tcW w:w="0" w:type="auto"/>
            <w:tcBorders>
              <w:top w:val="single" w:sz="8" w:space="0" w:color="000000"/>
              <w:left w:val="single" w:sz="8" w:space="0" w:color="000000"/>
              <w:bottom w:val="single" w:sz="8" w:space="0" w:color="000000"/>
              <w:right w:val="single" w:sz="8" w:space="0" w:color="000000"/>
            </w:tcBorders>
            <w:tcMar>
              <w:top w:w="99" w:type="dxa"/>
              <w:left w:w="99" w:type="dxa"/>
              <w:bottom w:w="99" w:type="dxa"/>
              <w:right w:w="99" w:type="dxa"/>
            </w:tcMar>
            <w:vAlign w:val="center"/>
            <w:hideMark/>
          </w:tcPr>
          <w:p w14:paraId="70113F55" w14:textId="52624DA6" w:rsidR="00F80EEE" w:rsidRPr="00F80EEE" w:rsidRDefault="00F80EEE" w:rsidP="002068AC">
            <w:pPr>
              <w:jc w:val="both"/>
              <w:rPr>
                <w:rFonts w:ascii="Arial" w:eastAsia="Calibri" w:hAnsi="Arial" w:cs="Arial"/>
                <w:sz w:val="22"/>
                <w:szCs w:val="22"/>
              </w:rPr>
            </w:pPr>
            <w:r w:rsidRPr="00F80EEE">
              <w:rPr>
                <w:rFonts w:ascii="Arial" w:eastAsia="Calibri" w:hAnsi="Arial" w:cs="Arial"/>
                <w:sz w:val="22"/>
                <w:szCs w:val="22"/>
              </w:rPr>
              <w:t>A1.11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0B796CA" w14:textId="34D93CEF" w:rsidR="00F80EEE" w:rsidRPr="00F80EEE" w:rsidRDefault="00F80EEE" w:rsidP="002068AC">
            <w:pPr>
              <w:jc w:val="both"/>
              <w:rPr>
                <w:rFonts w:ascii="Arial" w:eastAsia="Calibri" w:hAnsi="Arial" w:cs="Arial"/>
                <w:sz w:val="22"/>
                <w:szCs w:val="22"/>
              </w:rPr>
            </w:pPr>
            <w:r w:rsidRPr="00F80EEE">
              <w:rPr>
                <w:rFonts w:ascii="Arial" w:eastAsia="Calibri" w:hAnsi="Arial" w:cs="Arial"/>
                <w:sz w:val="22"/>
                <w:szCs w:val="22"/>
              </w:rPr>
              <w:t>Describe the microscopic structure of bone and the function and cellular precursors of bone cells (osteoblasts, osteocytes, and osteoclasts)</w:t>
            </w:r>
          </w:p>
        </w:tc>
      </w:tr>
      <w:tr w:rsidR="00F80EEE" w:rsidRPr="00F80EEE" w14:paraId="4A303108" w14:textId="77777777" w:rsidTr="00EB574F">
        <w:trPr>
          <w:trHeight w:val="288"/>
        </w:trPr>
        <w:tc>
          <w:tcPr>
            <w:tcW w:w="0" w:type="auto"/>
            <w:tcBorders>
              <w:top w:val="single" w:sz="8" w:space="0" w:color="000000"/>
              <w:left w:val="single" w:sz="8" w:space="0" w:color="000000"/>
              <w:bottom w:val="single" w:sz="8" w:space="0" w:color="000000"/>
              <w:right w:val="single" w:sz="8" w:space="0" w:color="000000"/>
            </w:tcBorders>
            <w:tcMar>
              <w:top w:w="99" w:type="dxa"/>
              <w:left w:w="99" w:type="dxa"/>
              <w:bottom w:w="99" w:type="dxa"/>
              <w:right w:w="99" w:type="dxa"/>
            </w:tcMar>
            <w:vAlign w:val="center"/>
            <w:hideMark/>
          </w:tcPr>
          <w:p w14:paraId="45C353CA" w14:textId="2049B9D1" w:rsidR="00F80EEE" w:rsidRPr="00F80EEE" w:rsidRDefault="00F80EEE" w:rsidP="002068AC">
            <w:pPr>
              <w:jc w:val="both"/>
              <w:rPr>
                <w:rFonts w:ascii="Arial" w:eastAsia="Calibri" w:hAnsi="Arial" w:cs="Arial"/>
                <w:sz w:val="22"/>
                <w:szCs w:val="22"/>
              </w:rPr>
            </w:pPr>
            <w:r w:rsidRPr="00F80EEE">
              <w:rPr>
                <w:rFonts w:ascii="Arial" w:eastAsia="Calibri" w:hAnsi="Arial" w:cs="Arial"/>
                <w:sz w:val="22"/>
                <w:szCs w:val="22"/>
              </w:rPr>
              <w:t>A1.12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7254E8" w14:textId="77777777" w:rsidR="00F80EEE" w:rsidRPr="00F80EEE" w:rsidRDefault="00F80EEE" w:rsidP="002068AC">
            <w:pPr>
              <w:jc w:val="both"/>
              <w:rPr>
                <w:rFonts w:ascii="Arial" w:eastAsia="Calibri" w:hAnsi="Arial" w:cs="Arial"/>
                <w:sz w:val="22"/>
                <w:szCs w:val="22"/>
              </w:rPr>
            </w:pPr>
            <w:r w:rsidRPr="00F80EEE">
              <w:rPr>
                <w:rFonts w:ascii="Arial" w:eastAsia="Calibri" w:hAnsi="Arial" w:cs="Arial"/>
                <w:sz w:val="22"/>
                <w:szCs w:val="22"/>
              </w:rPr>
              <w:t>Explain bone histology sampling procedures (e.g. sampling sites)</w:t>
            </w:r>
          </w:p>
        </w:tc>
      </w:tr>
      <w:tr w:rsidR="00F80EEE" w:rsidRPr="00F80EEE" w14:paraId="64324A56" w14:textId="77777777" w:rsidTr="00EB574F">
        <w:trPr>
          <w:trHeight w:val="288"/>
        </w:trPr>
        <w:tc>
          <w:tcPr>
            <w:tcW w:w="0" w:type="auto"/>
            <w:tcBorders>
              <w:top w:val="single" w:sz="8" w:space="0" w:color="000000"/>
              <w:left w:val="single" w:sz="8" w:space="0" w:color="000000"/>
              <w:bottom w:val="single" w:sz="8" w:space="0" w:color="000000"/>
              <w:right w:val="single" w:sz="8" w:space="0" w:color="000000"/>
            </w:tcBorders>
            <w:tcMar>
              <w:top w:w="99" w:type="dxa"/>
              <w:left w:w="99" w:type="dxa"/>
              <w:bottom w:w="99" w:type="dxa"/>
              <w:right w:w="99" w:type="dxa"/>
            </w:tcMar>
            <w:vAlign w:val="center"/>
            <w:hideMark/>
          </w:tcPr>
          <w:p w14:paraId="35D5D759" w14:textId="476A389A" w:rsidR="00F80EEE" w:rsidRPr="00F80EEE" w:rsidRDefault="00F80EEE" w:rsidP="002068AC">
            <w:pPr>
              <w:jc w:val="both"/>
              <w:rPr>
                <w:rFonts w:ascii="Arial" w:eastAsia="Calibri" w:hAnsi="Arial" w:cs="Arial"/>
                <w:sz w:val="22"/>
                <w:szCs w:val="22"/>
              </w:rPr>
            </w:pPr>
            <w:r w:rsidRPr="00F80EEE">
              <w:rPr>
                <w:rFonts w:ascii="Arial" w:eastAsia="Calibri" w:hAnsi="Arial" w:cs="Arial"/>
                <w:sz w:val="22"/>
                <w:szCs w:val="22"/>
              </w:rPr>
              <w:t>A1.13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B34A32" w14:textId="510A5631" w:rsidR="00F80EEE" w:rsidRPr="00F80EEE" w:rsidRDefault="00F80EEE" w:rsidP="002068AC">
            <w:pPr>
              <w:jc w:val="both"/>
              <w:rPr>
                <w:rFonts w:ascii="Arial" w:eastAsia="Calibri" w:hAnsi="Arial" w:cs="Arial"/>
                <w:sz w:val="22"/>
                <w:szCs w:val="22"/>
              </w:rPr>
            </w:pPr>
            <w:r w:rsidRPr="00F80EEE">
              <w:rPr>
                <w:rFonts w:ascii="Arial" w:eastAsia="Calibri" w:hAnsi="Arial" w:cs="Arial"/>
                <w:sz w:val="22"/>
                <w:szCs w:val="22"/>
              </w:rPr>
              <w:t>Summarize the development of skeletal ossification centers and epiphyses, including timing, sequence, and sexual dimorphism</w:t>
            </w:r>
          </w:p>
        </w:tc>
      </w:tr>
    </w:tbl>
    <w:p w14:paraId="5A2EE282" w14:textId="77777777" w:rsidR="005B42C9" w:rsidRDefault="005B42C9" w:rsidP="002068AC">
      <w:pPr>
        <w:jc w:val="both"/>
        <w:rPr>
          <w:rFonts w:ascii="Arial" w:eastAsia="Calibri" w:hAnsi="Arial" w:cs="Arial"/>
          <w:b/>
          <w:bCs/>
          <w:sz w:val="22"/>
          <w:szCs w:val="22"/>
        </w:rPr>
      </w:pPr>
    </w:p>
    <w:p w14:paraId="52ABFF7C" w14:textId="77777777" w:rsidR="00307A11" w:rsidRPr="005B42C9" w:rsidRDefault="00307A11" w:rsidP="002068AC">
      <w:pPr>
        <w:jc w:val="both"/>
        <w:rPr>
          <w:rFonts w:ascii="Arial" w:eastAsia="Calibri" w:hAnsi="Arial" w:cs="Arial"/>
          <w:b/>
          <w:bCs/>
          <w:sz w:val="22"/>
          <w:szCs w:val="22"/>
        </w:rPr>
      </w:pPr>
    </w:p>
    <w:p w14:paraId="53B46BFE" w14:textId="77777777" w:rsidR="005B42C9" w:rsidRPr="005B42C9" w:rsidRDefault="005B42C9" w:rsidP="002068AC">
      <w:pPr>
        <w:spacing w:after="240"/>
        <w:jc w:val="both"/>
        <w:rPr>
          <w:rFonts w:ascii="Arial" w:eastAsia="Calibri" w:hAnsi="Arial" w:cs="Arial"/>
          <w:b/>
          <w:bCs/>
          <w:sz w:val="22"/>
          <w:szCs w:val="22"/>
        </w:rPr>
      </w:pPr>
      <w:r w:rsidRPr="005B42C9">
        <w:rPr>
          <w:rFonts w:ascii="Arial" w:eastAsia="Calibri" w:hAnsi="Arial" w:cs="Arial"/>
          <w:b/>
          <w:bCs/>
          <w:sz w:val="22"/>
          <w:szCs w:val="22"/>
        </w:rPr>
        <w:t>References</w:t>
      </w:r>
    </w:p>
    <w:p w14:paraId="4B9FD626"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Adams, B. and P. Crabtree (2012) Comparative Osteology:  A Laboratory and Field Guide of Common North American Animals.  Academic Press, Waltham, MA. [A1.7]</w:t>
      </w:r>
    </w:p>
    <w:p w14:paraId="4DE758B4"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 xml:space="preserve">Baker, B. J., T. L. Dupras, and M. W. </w:t>
      </w:r>
      <w:proofErr w:type="spellStart"/>
      <w:r w:rsidRPr="005B42C9">
        <w:rPr>
          <w:rFonts w:ascii="Arial" w:eastAsia="Calibri" w:hAnsi="Arial" w:cs="Arial"/>
          <w:sz w:val="22"/>
          <w:szCs w:val="22"/>
        </w:rPr>
        <w:t>Tocheri</w:t>
      </w:r>
      <w:proofErr w:type="spellEnd"/>
      <w:r w:rsidRPr="005B42C9">
        <w:rPr>
          <w:rFonts w:ascii="Arial" w:eastAsia="Calibri" w:hAnsi="Arial" w:cs="Arial"/>
          <w:sz w:val="22"/>
          <w:szCs w:val="22"/>
        </w:rPr>
        <w:t xml:space="preserve"> (2005) The Osteology of Infants and Children.  Texas A&amp;M University Press, College Station, TX. [A1.3, A1.8, A1.13]</w:t>
      </w:r>
    </w:p>
    <w:p w14:paraId="3F42D69E"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Crowder, C., and S. Stout, eds. (2012). Bone Histology:  An Anthropological Perspective.  CRC Press, Boca Raton, FL. [A1.1, A1.2, A1.7, A1.9, A1.10, A1.11, A1.12]</w:t>
      </w:r>
    </w:p>
    <w:p w14:paraId="02305474"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Cunningham C., Scheuer L., and Black S. (2016). Developmental Juvenile Osteology, 2nd Edition. Academic Press, San Diego, CA. [A1.3, A1.8, A1.13]</w:t>
      </w:r>
    </w:p>
    <w:p w14:paraId="13248C95"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lastRenderedPageBreak/>
        <w:t>France, D. L. (2008) Human and Nonhuman Bone Identification:  A Color Atlas.  CRC Press, Boca Raton, FL. [A1.7]</w:t>
      </w:r>
    </w:p>
    <w:p w14:paraId="7C31EA92"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France, D. L. (2017) Comparative Bone Identification:  Human Subadult to Nonhuman.  CRC Press, Boca Raton, FL. [A1.3, A1.7]</w:t>
      </w:r>
    </w:p>
    <w:p w14:paraId="18B5A0DB" w14:textId="1B7D6E55"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Jantz, R. L., and S. Ousley (2005) FORDISC 3.1. University of Tennessee Press, Knoxville, TN. [Including the program itself and the included Help Guide] [A1.5, A1.6; A2.1, A2.2]</w:t>
      </w:r>
    </w:p>
    <w:p w14:paraId="0AE8A4AA"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Moore, K. L., A. F. Dalley, and A. M. R. Agur (2013) Clinically Oriented Anatomy (7th ed.).  Walters Kluwer, Baltimore, MD. Or any other general anatomy textbook. [A1.2, A1.5, A1.8, A1.11, A1.13]</w:t>
      </w:r>
    </w:p>
    <w:p w14:paraId="1A01BC97" w14:textId="23CFF23D"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 xml:space="preserve">Plemons, A. M., </w:t>
      </w:r>
      <w:proofErr w:type="spellStart"/>
      <w:r w:rsidRPr="005B42C9">
        <w:rPr>
          <w:rFonts w:ascii="Arial" w:eastAsia="Calibri" w:hAnsi="Arial" w:cs="Arial"/>
          <w:sz w:val="22"/>
          <w:szCs w:val="22"/>
        </w:rPr>
        <w:t>Kamnikar</w:t>
      </w:r>
      <w:proofErr w:type="spellEnd"/>
      <w:r w:rsidRPr="005B42C9">
        <w:rPr>
          <w:rFonts w:ascii="Arial" w:eastAsia="Calibri" w:hAnsi="Arial" w:cs="Arial"/>
          <w:sz w:val="22"/>
          <w:szCs w:val="22"/>
        </w:rPr>
        <w:t xml:space="preserve">, K. R., </w:t>
      </w:r>
      <w:proofErr w:type="spellStart"/>
      <w:r w:rsidRPr="005B42C9">
        <w:rPr>
          <w:rFonts w:ascii="Arial" w:eastAsia="Calibri" w:hAnsi="Arial" w:cs="Arial"/>
          <w:sz w:val="22"/>
          <w:szCs w:val="22"/>
        </w:rPr>
        <w:t>Goots</w:t>
      </w:r>
      <w:proofErr w:type="spellEnd"/>
      <w:r w:rsidRPr="005B42C9">
        <w:rPr>
          <w:rFonts w:ascii="Arial" w:eastAsia="Calibri" w:hAnsi="Arial" w:cs="Arial"/>
          <w:sz w:val="22"/>
          <w:szCs w:val="22"/>
        </w:rPr>
        <w:t>, A. G., and J. A. Biggs (2023). Landmark and Measurement-Based Data Assistant (</w:t>
      </w:r>
      <w:proofErr w:type="spellStart"/>
      <w:r w:rsidRPr="005B42C9">
        <w:rPr>
          <w:rFonts w:ascii="Arial" w:eastAsia="Calibri" w:hAnsi="Arial" w:cs="Arial"/>
          <w:sz w:val="22"/>
          <w:szCs w:val="22"/>
        </w:rPr>
        <w:t>LAMbDA</w:t>
      </w:r>
      <w:proofErr w:type="spellEnd"/>
      <w:r w:rsidRPr="005B42C9">
        <w:rPr>
          <w:rFonts w:ascii="Arial" w:eastAsia="Calibri" w:hAnsi="Arial" w:cs="Arial"/>
          <w:sz w:val="22"/>
          <w:szCs w:val="22"/>
        </w:rPr>
        <w:t xml:space="preserve">): A Pedagogical Tool for Cranial Landmark Data Collection. Forensic Anthropology 6(2): 92-98. </w:t>
      </w:r>
      <w:hyperlink r:id="rId8" w:history="1">
        <w:r w:rsidRPr="00447D66">
          <w:rPr>
            <w:rStyle w:val="Hyperlink"/>
            <w:rFonts w:ascii="Arial" w:eastAsia="Calibri" w:hAnsi="Arial" w:cs="Arial"/>
            <w:sz w:val="22"/>
            <w:szCs w:val="22"/>
          </w:rPr>
          <w:t>https://locatelambda.org/</w:t>
        </w:r>
      </w:hyperlink>
      <w:r w:rsidRPr="005B42C9">
        <w:rPr>
          <w:rFonts w:ascii="Arial" w:eastAsia="Calibri" w:hAnsi="Arial" w:cs="Arial"/>
          <w:sz w:val="22"/>
          <w:szCs w:val="22"/>
        </w:rPr>
        <w:t xml:space="preserve"> [A1.5, A1.6]</w:t>
      </w:r>
    </w:p>
    <w:p w14:paraId="4FACB47C"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Scheuer, L., and S. Black (2004) The Juvenile Skeleton.  Elsevier Press, Amsterdam. [A1.3, A1.8, A1.13]</w:t>
      </w:r>
    </w:p>
    <w:p w14:paraId="2F94EBC3"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Schaefer, M., S. Black, and L. Scheuer (2009) Juvenile Osteology:  A Laboratory and Field Manual.  Academic Press, Amsterdam. [A1.3, A1.8, A1.13]</w:t>
      </w:r>
    </w:p>
    <w:p w14:paraId="7F257532"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White, T. D., M. T. Black, and P. A. Folkens (2012) Human Osteology (3rd ed.).  Academic Press, San Diego, CA.  [A1.1, A1.2, A1.3, A1.4, A1.5, A1.6]</w:t>
      </w:r>
    </w:p>
    <w:p w14:paraId="5B0E0BCE"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White, T., and P. Folkens (2005) The Human Bone Manual.  Academic Press, Amsterdam. [A1.1, A1.2, A1.3, A1.4, A1.5, A1.6]</w:t>
      </w:r>
    </w:p>
    <w:p w14:paraId="44E7B56D" w14:textId="77777777" w:rsidR="005B42C9" w:rsidRPr="005B42C9" w:rsidRDefault="005B42C9" w:rsidP="002068AC">
      <w:pPr>
        <w:spacing w:after="240"/>
        <w:jc w:val="both"/>
        <w:rPr>
          <w:rFonts w:ascii="Arial" w:eastAsia="Calibri" w:hAnsi="Arial" w:cs="Arial"/>
          <w:sz w:val="22"/>
          <w:szCs w:val="22"/>
        </w:rPr>
      </w:pPr>
    </w:p>
    <w:p w14:paraId="0827FD67" w14:textId="77777777" w:rsidR="005B42C9" w:rsidRPr="005B42C9" w:rsidRDefault="005B42C9" w:rsidP="002068AC">
      <w:pPr>
        <w:spacing w:after="240"/>
        <w:jc w:val="both"/>
        <w:rPr>
          <w:rFonts w:ascii="Arial" w:eastAsia="Calibri" w:hAnsi="Arial" w:cs="Arial"/>
          <w:sz w:val="22"/>
          <w:szCs w:val="22"/>
        </w:rPr>
      </w:pPr>
    </w:p>
    <w:p w14:paraId="013113FD" w14:textId="77777777" w:rsidR="005B42C9" w:rsidRPr="005B42C9" w:rsidRDefault="005B42C9" w:rsidP="002068AC">
      <w:pPr>
        <w:jc w:val="both"/>
        <w:rPr>
          <w:rFonts w:ascii="Arial" w:eastAsia="Calibri" w:hAnsi="Arial" w:cs="Arial"/>
          <w:sz w:val="22"/>
          <w:szCs w:val="22"/>
        </w:rPr>
      </w:pPr>
    </w:p>
    <w:p w14:paraId="52D893E5" w14:textId="77777777" w:rsidR="005B42C9" w:rsidRPr="005B42C9" w:rsidRDefault="005B42C9" w:rsidP="002068AC">
      <w:pPr>
        <w:jc w:val="both"/>
        <w:rPr>
          <w:rFonts w:ascii="Arial" w:eastAsia="Calibri" w:hAnsi="Arial" w:cs="Arial"/>
          <w:sz w:val="22"/>
          <w:szCs w:val="22"/>
        </w:rPr>
      </w:pPr>
    </w:p>
    <w:p w14:paraId="59AEA0DE" w14:textId="77777777" w:rsidR="005B42C9" w:rsidRPr="005B42C9" w:rsidRDefault="005B42C9" w:rsidP="002068AC">
      <w:pPr>
        <w:jc w:val="both"/>
        <w:rPr>
          <w:rFonts w:ascii="Arial" w:eastAsia="Calibri" w:hAnsi="Arial" w:cs="Arial"/>
          <w:sz w:val="22"/>
          <w:szCs w:val="22"/>
        </w:rPr>
      </w:pPr>
    </w:p>
    <w:p w14:paraId="1B5E4070" w14:textId="77777777" w:rsidR="005B42C9" w:rsidRPr="005B42C9" w:rsidRDefault="005B42C9" w:rsidP="002068AC">
      <w:pPr>
        <w:jc w:val="both"/>
        <w:rPr>
          <w:rFonts w:ascii="Arial" w:eastAsia="Calibri" w:hAnsi="Arial" w:cs="Arial"/>
          <w:sz w:val="22"/>
          <w:szCs w:val="22"/>
        </w:rPr>
      </w:pPr>
    </w:p>
    <w:p w14:paraId="09DACFB9" w14:textId="77777777" w:rsidR="005B42C9" w:rsidRPr="005B42C9" w:rsidRDefault="005B42C9" w:rsidP="002068AC">
      <w:pPr>
        <w:jc w:val="both"/>
        <w:rPr>
          <w:rFonts w:ascii="Arial" w:eastAsia="Calibri" w:hAnsi="Arial" w:cs="Arial"/>
          <w:sz w:val="22"/>
          <w:szCs w:val="22"/>
        </w:rPr>
      </w:pPr>
    </w:p>
    <w:p w14:paraId="2A5FA72D" w14:textId="77777777" w:rsidR="005B42C9" w:rsidRPr="005B42C9" w:rsidRDefault="005B42C9" w:rsidP="002068AC">
      <w:pPr>
        <w:jc w:val="both"/>
        <w:rPr>
          <w:rFonts w:ascii="Arial" w:eastAsia="Calibri" w:hAnsi="Arial" w:cs="Arial"/>
          <w:sz w:val="22"/>
          <w:szCs w:val="22"/>
        </w:rPr>
      </w:pPr>
    </w:p>
    <w:p w14:paraId="329D4151" w14:textId="77777777" w:rsidR="005B42C9" w:rsidRPr="005B42C9" w:rsidRDefault="005B42C9" w:rsidP="002068AC">
      <w:pPr>
        <w:jc w:val="both"/>
        <w:rPr>
          <w:rFonts w:ascii="Arial" w:eastAsia="Calibri" w:hAnsi="Arial" w:cs="Arial"/>
          <w:sz w:val="22"/>
          <w:szCs w:val="22"/>
        </w:rPr>
      </w:pPr>
    </w:p>
    <w:p w14:paraId="55DF7D57" w14:textId="77777777" w:rsidR="005B42C9" w:rsidRPr="005B42C9" w:rsidRDefault="005B42C9" w:rsidP="002068AC">
      <w:pPr>
        <w:jc w:val="both"/>
        <w:rPr>
          <w:rFonts w:ascii="Arial" w:eastAsia="Calibri" w:hAnsi="Arial" w:cs="Arial"/>
          <w:sz w:val="22"/>
          <w:szCs w:val="22"/>
        </w:rPr>
      </w:pPr>
    </w:p>
    <w:p w14:paraId="79D8664B" w14:textId="77777777" w:rsidR="005B42C9" w:rsidRPr="005B42C9" w:rsidRDefault="005B42C9" w:rsidP="002068AC">
      <w:pPr>
        <w:jc w:val="both"/>
        <w:rPr>
          <w:rFonts w:ascii="Arial" w:eastAsia="Calibri" w:hAnsi="Arial" w:cs="Arial"/>
          <w:sz w:val="22"/>
          <w:szCs w:val="22"/>
        </w:rPr>
      </w:pPr>
    </w:p>
    <w:p w14:paraId="7DD93677" w14:textId="77777777" w:rsidR="005B42C9" w:rsidRPr="005B42C9" w:rsidRDefault="005B42C9" w:rsidP="002068AC">
      <w:pPr>
        <w:jc w:val="both"/>
        <w:rPr>
          <w:rFonts w:ascii="Arial" w:eastAsia="Calibri" w:hAnsi="Arial" w:cs="Arial"/>
          <w:sz w:val="22"/>
          <w:szCs w:val="22"/>
        </w:rPr>
      </w:pPr>
    </w:p>
    <w:p w14:paraId="110B70BD" w14:textId="77777777" w:rsidR="005B42C9" w:rsidRPr="005B42C9" w:rsidRDefault="005B42C9" w:rsidP="002068AC">
      <w:pPr>
        <w:jc w:val="both"/>
        <w:rPr>
          <w:rFonts w:ascii="Arial" w:eastAsia="Calibri" w:hAnsi="Arial" w:cs="Arial"/>
          <w:sz w:val="22"/>
          <w:szCs w:val="22"/>
        </w:rPr>
      </w:pPr>
    </w:p>
    <w:p w14:paraId="7EF0BFB9" w14:textId="77777777" w:rsidR="005B42C9" w:rsidRPr="005B42C9" w:rsidRDefault="005B42C9" w:rsidP="002068AC">
      <w:pPr>
        <w:jc w:val="both"/>
        <w:rPr>
          <w:rFonts w:ascii="Arial" w:eastAsia="Calibri" w:hAnsi="Arial" w:cs="Arial"/>
          <w:sz w:val="22"/>
          <w:szCs w:val="22"/>
        </w:rPr>
      </w:pPr>
    </w:p>
    <w:p w14:paraId="74F81DD5" w14:textId="77777777" w:rsidR="005B42C9" w:rsidRPr="005B42C9" w:rsidRDefault="005B42C9" w:rsidP="002068AC">
      <w:pPr>
        <w:jc w:val="both"/>
        <w:rPr>
          <w:rFonts w:ascii="Arial" w:eastAsia="Calibri" w:hAnsi="Arial" w:cs="Arial"/>
          <w:sz w:val="22"/>
          <w:szCs w:val="22"/>
        </w:rPr>
      </w:pPr>
    </w:p>
    <w:p w14:paraId="6D9D5782" w14:textId="77777777" w:rsidR="005B42C9" w:rsidRPr="005B42C9" w:rsidRDefault="005B42C9" w:rsidP="002068AC">
      <w:pPr>
        <w:jc w:val="both"/>
        <w:rPr>
          <w:rFonts w:ascii="Arial" w:eastAsia="Calibri" w:hAnsi="Arial" w:cs="Arial"/>
          <w:sz w:val="22"/>
          <w:szCs w:val="22"/>
        </w:rPr>
      </w:pPr>
    </w:p>
    <w:p w14:paraId="4832FC0E" w14:textId="77777777" w:rsidR="005B42C9" w:rsidRPr="005B42C9" w:rsidRDefault="005B42C9" w:rsidP="002068AC">
      <w:pPr>
        <w:jc w:val="both"/>
        <w:rPr>
          <w:rFonts w:ascii="Arial" w:eastAsia="Calibri" w:hAnsi="Arial" w:cs="Arial"/>
          <w:sz w:val="22"/>
          <w:szCs w:val="22"/>
        </w:rPr>
      </w:pPr>
    </w:p>
    <w:p w14:paraId="66FC793A" w14:textId="77777777" w:rsidR="005B42C9" w:rsidRPr="005B42C9" w:rsidRDefault="005B42C9" w:rsidP="002068AC">
      <w:pPr>
        <w:jc w:val="both"/>
        <w:rPr>
          <w:rFonts w:ascii="Arial" w:eastAsia="Calibri" w:hAnsi="Arial" w:cs="Arial"/>
          <w:sz w:val="22"/>
          <w:szCs w:val="22"/>
        </w:rPr>
      </w:pPr>
    </w:p>
    <w:p w14:paraId="7EC3A598" w14:textId="77777777" w:rsidR="005B42C9" w:rsidRPr="005B42C9" w:rsidRDefault="005B42C9" w:rsidP="002068AC">
      <w:pPr>
        <w:jc w:val="both"/>
        <w:rPr>
          <w:rFonts w:ascii="Arial" w:eastAsia="Calibri" w:hAnsi="Arial" w:cs="Arial"/>
          <w:sz w:val="22"/>
          <w:szCs w:val="22"/>
        </w:rPr>
      </w:pPr>
    </w:p>
    <w:p w14:paraId="32B4BE44" w14:textId="77777777" w:rsidR="005B42C9" w:rsidRDefault="005B42C9" w:rsidP="002068AC">
      <w:pPr>
        <w:jc w:val="both"/>
        <w:rPr>
          <w:rFonts w:ascii="Arial" w:eastAsia="Calibri" w:hAnsi="Arial" w:cs="Arial"/>
          <w:sz w:val="22"/>
          <w:szCs w:val="22"/>
        </w:rPr>
      </w:pPr>
    </w:p>
    <w:p w14:paraId="5EB6F7A5" w14:textId="77777777" w:rsidR="00490157" w:rsidRPr="005B42C9" w:rsidRDefault="00490157" w:rsidP="002068AC">
      <w:pPr>
        <w:jc w:val="both"/>
        <w:rPr>
          <w:rFonts w:ascii="Arial" w:eastAsia="Calibri" w:hAnsi="Arial" w:cs="Arial"/>
          <w:sz w:val="22"/>
          <w:szCs w:val="22"/>
        </w:rPr>
      </w:pPr>
    </w:p>
    <w:p w14:paraId="27E041DB" w14:textId="77777777" w:rsidR="005B42C9" w:rsidRPr="005B42C9" w:rsidRDefault="005B42C9" w:rsidP="002068AC">
      <w:pPr>
        <w:jc w:val="both"/>
        <w:rPr>
          <w:rFonts w:ascii="Arial" w:eastAsia="Calibri" w:hAnsi="Arial" w:cs="Arial"/>
          <w:sz w:val="22"/>
          <w:szCs w:val="22"/>
        </w:rPr>
      </w:pPr>
    </w:p>
    <w:p w14:paraId="1E2599C0" w14:textId="77777777" w:rsidR="005B42C9" w:rsidRPr="009A6F2F" w:rsidRDefault="005B42C9" w:rsidP="002068AC">
      <w:pPr>
        <w:jc w:val="both"/>
        <w:rPr>
          <w:rFonts w:ascii="Arial" w:eastAsia="Calibri" w:hAnsi="Arial" w:cs="Arial"/>
          <w:b/>
          <w:bCs/>
        </w:rPr>
      </w:pPr>
      <w:r w:rsidRPr="009A6F2F">
        <w:rPr>
          <w:rFonts w:ascii="Arial" w:eastAsia="Calibri" w:hAnsi="Arial" w:cs="Arial"/>
          <w:b/>
          <w:bCs/>
        </w:rPr>
        <w:lastRenderedPageBreak/>
        <w:t>2. Bioprofile</w:t>
      </w:r>
    </w:p>
    <w:p w14:paraId="0CD5B44B" w14:textId="17EC394B" w:rsidR="005B42C9" w:rsidRPr="005B42C9" w:rsidRDefault="005B42C9" w:rsidP="002068AC">
      <w:pPr>
        <w:jc w:val="both"/>
        <w:rPr>
          <w:rFonts w:ascii="Arial" w:eastAsia="Calibri" w:hAnsi="Arial" w:cs="Arial"/>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653"/>
        <w:gridCol w:w="8687"/>
      </w:tblGrid>
      <w:tr w:rsidR="009A6F2F" w:rsidRPr="009A6F2F" w14:paraId="004D6737" w14:textId="77777777" w:rsidTr="00EB574F">
        <w:trPr>
          <w:trHeight w:val="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1AD784" w14:textId="5285905D" w:rsidR="009A6F2F" w:rsidRPr="009A6F2F" w:rsidRDefault="009A6F2F" w:rsidP="002068AC">
            <w:pPr>
              <w:jc w:val="both"/>
              <w:rPr>
                <w:rFonts w:ascii="Arial" w:eastAsia="Calibri" w:hAnsi="Arial" w:cs="Arial"/>
                <w:sz w:val="22"/>
                <w:szCs w:val="22"/>
              </w:rPr>
            </w:pPr>
            <w:r w:rsidRPr="009A6F2F">
              <w:rPr>
                <w:rFonts w:ascii="Arial" w:eastAsia="Calibri" w:hAnsi="Arial" w:cs="Arial"/>
                <w:sz w:val="22"/>
                <w:szCs w:val="22"/>
              </w:rPr>
              <w:t>A2.1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CAC751" w14:textId="77777777" w:rsidR="009A6F2F" w:rsidRPr="009A6F2F" w:rsidRDefault="009A6F2F" w:rsidP="002068AC">
            <w:pPr>
              <w:jc w:val="both"/>
              <w:rPr>
                <w:rFonts w:ascii="Arial" w:eastAsia="Calibri" w:hAnsi="Arial" w:cs="Arial"/>
                <w:sz w:val="22"/>
                <w:szCs w:val="22"/>
              </w:rPr>
            </w:pPr>
            <w:r w:rsidRPr="009A6F2F">
              <w:rPr>
                <w:rFonts w:ascii="Arial" w:eastAsia="Calibri" w:hAnsi="Arial" w:cs="Arial"/>
                <w:sz w:val="22"/>
                <w:szCs w:val="22"/>
              </w:rPr>
              <w:t>Score, measure, and record metric and morphoscopic/morphological variables according to accepted and defined procedures for estimating bioprofile parameters</w:t>
            </w:r>
          </w:p>
        </w:tc>
      </w:tr>
      <w:tr w:rsidR="009A6F2F" w:rsidRPr="009A6F2F" w14:paraId="4A4E370F" w14:textId="77777777" w:rsidTr="00EB574F">
        <w:trPr>
          <w:trHeight w:val="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7D54F7" w14:textId="6900271C" w:rsidR="009A6F2F" w:rsidRPr="009A6F2F" w:rsidRDefault="009A6F2F" w:rsidP="002068AC">
            <w:pPr>
              <w:jc w:val="both"/>
              <w:rPr>
                <w:rFonts w:ascii="Arial" w:eastAsia="Calibri" w:hAnsi="Arial" w:cs="Arial"/>
                <w:sz w:val="22"/>
                <w:szCs w:val="22"/>
              </w:rPr>
            </w:pPr>
            <w:r w:rsidRPr="009A6F2F">
              <w:rPr>
                <w:rFonts w:ascii="Arial" w:eastAsia="Calibri" w:hAnsi="Arial" w:cs="Arial"/>
                <w:sz w:val="22"/>
                <w:szCs w:val="22"/>
              </w:rPr>
              <w:t>A2.2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31531C" w14:textId="77777777" w:rsidR="009A6F2F" w:rsidRPr="009A6F2F" w:rsidRDefault="009A6F2F" w:rsidP="002068AC">
            <w:pPr>
              <w:jc w:val="both"/>
              <w:rPr>
                <w:rFonts w:ascii="Arial" w:eastAsia="Calibri" w:hAnsi="Arial" w:cs="Arial"/>
                <w:sz w:val="22"/>
                <w:szCs w:val="22"/>
              </w:rPr>
            </w:pPr>
            <w:r w:rsidRPr="009A6F2F">
              <w:rPr>
                <w:rFonts w:ascii="Arial" w:eastAsia="Calibri" w:hAnsi="Arial" w:cs="Arial"/>
                <w:sz w:val="22"/>
                <w:szCs w:val="22"/>
              </w:rPr>
              <w:t>Use software programs relevant to bioprofile analyses</w:t>
            </w:r>
          </w:p>
        </w:tc>
      </w:tr>
    </w:tbl>
    <w:p w14:paraId="1AB53029" w14:textId="77777777" w:rsidR="005B42C9" w:rsidRPr="005B42C9" w:rsidRDefault="005B42C9" w:rsidP="002068AC">
      <w:pPr>
        <w:jc w:val="both"/>
        <w:rPr>
          <w:rFonts w:ascii="Arial" w:eastAsia="Calibri" w:hAnsi="Arial" w:cs="Arial"/>
          <w:sz w:val="22"/>
          <w:szCs w:val="22"/>
        </w:rPr>
      </w:pPr>
    </w:p>
    <w:p w14:paraId="7D725E16" w14:textId="77777777" w:rsidR="005B42C9" w:rsidRPr="009A6F2F" w:rsidRDefault="005B42C9" w:rsidP="002068AC">
      <w:pPr>
        <w:jc w:val="both"/>
        <w:rPr>
          <w:rFonts w:ascii="Arial" w:eastAsia="Calibri" w:hAnsi="Arial" w:cs="Arial"/>
          <w:b/>
          <w:bCs/>
          <w:sz w:val="22"/>
          <w:szCs w:val="22"/>
        </w:rPr>
      </w:pPr>
    </w:p>
    <w:p w14:paraId="27905EB7" w14:textId="77777777" w:rsidR="005B42C9" w:rsidRPr="009A6F2F" w:rsidRDefault="005B42C9" w:rsidP="002068AC">
      <w:pPr>
        <w:spacing w:after="240"/>
        <w:jc w:val="both"/>
        <w:rPr>
          <w:rFonts w:ascii="Arial" w:eastAsia="Calibri" w:hAnsi="Arial" w:cs="Arial"/>
          <w:b/>
          <w:bCs/>
          <w:sz w:val="22"/>
          <w:szCs w:val="22"/>
        </w:rPr>
      </w:pPr>
      <w:r w:rsidRPr="009A6F2F">
        <w:rPr>
          <w:rFonts w:ascii="Arial" w:eastAsia="Calibri" w:hAnsi="Arial" w:cs="Arial"/>
          <w:b/>
          <w:bCs/>
          <w:sz w:val="22"/>
          <w:szCs w:val="22"/>
        </w:rPr>
        <w:t>References</w:t>
      </w:r>
    </w:p>
    <w:p w14:paraId="688E5B89" w14:textId="5142628A" w:rsidR="005B42C9" w:rsidRPr="005B42C9" w:rsidRDefault="005B42C9" w:rsidP="002068AC">
      <w:pPr>
        <w:jc w:val="both"/>
        <w:rPr>
          <w:rFonts w:ascii="Arial" w:eastAsia="Calibri" w:hAnsi="Arial" w:cs="Arial"/>
          <w:sz w:val="22"/>
          <w:szCs w:val="22"/>
        </w:rPr>
      </w:pPr>
      <w:r w:rsidRPr="005B42C9">
        <w:rPr>
          <w:rFonts w:ascii="Arial" w:eastAsia="Calibri" w:hAnsi="Arial" w:cs="Arial"/>
          <w:sz w:val="22"/>
          <w:szCs w:val="22"/>
        </w:rPr>
        <w:t xml:space="preserve">AAFS Academy Standards Board (ASB): </w:t>
      </w:r>
      <w:hyperlink r:id="rId9" w:history="1">
        <w:r w:rsidRPr="00750C6E">
          <w:rPr>
            <w:rStyle w:val="Hyperlink"/>
            <w:rFonts w:ascii="Arial" w:eastAsia="Calibri" w:hAnsi="Arial" w:cs="Arial"/>
            <w:sz w:val="22"/>
            <w:szCs w:val="22"/>
          </w:rPr>
          <w:t>https://www.aafs.org/search/standards</w:t>
        </w:r>
      </w:hyperlink>
      <w:r w:rsidRPr="005B42C9">
        <w:rPr>
          <w:rFonts w:ascii="Arial" w:eastAsia="Calibri" w:hAnsi="Arial" w:cs="Arial"/>
          <w:sz w:val="22"/>
          <w:szCs w:val="22"/>
        </w:rPr>
        <w:t xml:space="preserve"> </w:t>
      </w:r>
    </w:p>
    <w:p w14:paraId="385A746E" w14:textId="77777777" w:rsidR="005B42C9" w:rsidRPr="005B42C9" w:rsidRDefault="005B42C9" w:rsidP="002068AC">
      <w:pPr>
        <w:jc w:val="both"/>
        <w:rPr>
          <w:rFonts w:ascii="Arial" w:eastAsia="Calibri" w:hAnsi="Arial" w:cs="Arial"/>
          <w:sz w:val="22"/>
          <w:szCs w:val="22"/>
        </w:rPr>
      </w:pPr>
      <w:r w:rsidRPr="005B42C9">
        <w:rPr>
          <w:rFonts w:ascii="Arial" w:eastAsia="Calibri" w:hAnsi="Arial" w:cs="Arial"/>
          <w:sz w:val="22"/>
          <w:szCs w:val="22"/>
        </w:rPr>
        <w:t>●</w:t>
      </w:r>
      <w:r w:rsidRPr="005B42C9">
        <w:rPr>
          <w:rFonts w:ascii="Arial" w:eastAsia="Calibri" w:hAnsi="Arial" w:cs="Arial"/>
          <w:sz w:val="22"/>
          <w:szCs w:val="22"/>
        </w:rPr>
        <w:tab/>
        <w:t xml:space="preserve">Std. 045, 1st  Ed. (2019). Standard for Stature Estimation in Forensic Anthropology. </w:t>
      </w:r>
    </w:p>
    <w:p w14:paraId="01317BC1" w14:textId="77777777" w:rsidR="005B42C9" w:rsidRPr="005B42C9" w:rsidRDefault="005B42C9" w:rsidP="002068AC">
      <w:pPr>
        <w:jc w:val="both"/>
        <w:rPr>
          <w:rFonts w:ascii="Arial" w:eastAsia="Calibri" w:hAnsi="Arial" w:cs="Arial"/>
          <w:sz w:val="22"/>
          <w:szCs w:val="22"/>
        </w:rPr>
      </w:pPr>
      <w:r w:rsidRPr="005B42C9">
        <w:rPr>
          <w:rFonts w:ascii="Arial" w:eastAsia="Calibri" w:hAnsi="Arial" w:cs="Arial"/>
          <w:sz w:val="22"/>
          <w:szCs w:val="22"/>
        </w:rPr>
        <w:t>●</w:t>
      </w:r>
      <w:r w:rsidRPr="005B42C9">
        <w:rPr>
          <w:rFonts w:ascii="Arial" w:eastAsia="Calibri" w:hAnsi="Arial" w:cs="Arial"/>
          <w:sz w:val="22"/>
          <w:szCs w:val="22"/>
        </w:rPr>
        <w:tab/>
        <w:t xml:space="preserve">Std. 090, 1st  Ed. (2019). Standard for Sex Estimation in Forensic Anthropology. </w:t>
      </w:r>
    </w:p>
    <w:p w14:paraId="62653BC8" w14:textId="77777777" w:rsidR="005B42C9" w:rsidRPr="005B42C9" w:rsidRDefault="005B42C9" w:rsidP="002068AC">
      <w:pPr>
        <w:ind w:left="720" w:hanging="720"/>
        <w:jc w:val="both"/>
        <w:rPr>
          <w:rFonts w:ascii="Arial" w:eastAsia="Calibri" w:hAnsi="Arial" w:cs="Arial"/>
          <w:sz w:val="22"/>
          <w:szCs w:val="22"/>
        </w:rPr>
      </w:pPr>
      <w:r w:rsidRPr="005B42C9">
        <w:rPr>
          <w:rFonts w:ascii="Arial" w:eastAsia="Calibri" w:hAnsi="Arial" w:cs="Arial"/>
          <w:sz w:val="22"/>
          <w:szCs w:val="22"/>
        </w:rPr>
        <w:t>●</w:t>
      </w:r>
      <w:r w:rsidRPr="005B42C9">
        <w:rPr>
          <w:rFonts w:ascii="Arial" w:eastAsia="Calibri" w:hAnsi="Arial" w:cs="Arial"/>
          <w:sz w:val="22"/>
          <w:szCs w:val="22"/>
        </w:rPr>
        <w:tab/>
        <w:t xml:space="preserve">Std. 132, 1st  Ed. (2023). Standard for Population Affinity Estimation in Forensic Anthropology. </w:t>
      </w:r>
    </w:p>
    <w:p w14:paraId="44F95C10" w14:textId="609F8584" w:rsidR="009A6F2F" w:rsidRDefault="005B42C9" w:rsidP="002068AC">
      <w:pPr>
        <w:jc w:val="both"/>
        <w:rPr>
          <w:rFonts w:ascii="Arial" w:eastAsia="Calibri" w:hAnsi="Arial" w:cs="Arial"/>
          <w:sz w:val="22"/>
          <w:szCs w:val="22"/>
        </w:rPr>
      </w:pPr>
      <w:r w:rsidRPr="005B42C9">
        <w:rPr>
          <w:rFonts w:ascii="Arial" w:eastAsia="Calibri" w:hAnsi="Arial" w:cs="Arial"/>
          <w:sz w:val="22"/>
          <w:szCs w:val="22"/>
        </w:rPr>
        <w:t>●</w:t>
      </w:r>
      <w:r w:rsidRPr="005B42C9">
        <w:rPr>
          <w:rFonts w:ascii="Arial" w:eastAsia="Calibri" w:hAnsi="Arial" w:cs="Arial"/>
          <w:sz w:val="22"/>
          <w:szCs w:val="22"/>
        </w:rPr>
        <w:tab/>
        <w:t xml:space="preserve">Std. 133, 1st  Ed. (2024). Standard for Age Estimation in Forensic Anthropology. </w:t>
      </w:r>
    </w:p>
    <w:p w14:paraId="6B9C360F" w14:textId="77777777" w:rsidR="00D328A4" w:rsidRDefault="00D328A4" w:rsidP="002068AC">
      <w:pPr>
        <w:jc w:val="both"/>
        <w:rPr>
          <w:rFonts w:ascii="Arial" w:eastAsia="Calibri" w:hAnsi="Arial" w:cs="Arial"/>
          <w:sz w:val="22"/>
          <w:szCs w:val="22"/>
        </w:rPr>
      </w:pPr>
    </w:p>
    <w:p w14:paraId="07E7E5DF"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AlQahtani, S. J., Hector, M. P., &amp; Liversidge, H. M. (2010). Brief communication: the London atlas of human tooth development and eruption. American Journal of physical anthropology, 142(3), 481-490.  [A2.1]</w:t>
      </w:r>
    </w:p>
    <w:p w14:paraId="666A58A0"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AlQahtani, S. J. (2009) Atlas of human tooth development and eruption.  Queen Mary and Westfield College, London.  (www.atlas.dentistry.qmul.ac.uk.) [A2.1, A2.2]</w:t>
      </w:r>
    </w:p>
    <w:p w14:paraId="18D6F04F"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Auerbach, B. M. (2011) Methods for estimating missing human skeletal element osteometric dimensions employed in the revised Fully technique for estimation stature.  American Journal of Physical Anthropology 145:67-80. [A2.1]</w:t>
      </w:r>
    </w:p>
    <w:p w14:paraId="08CDB5AF"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Berg, G. E. and M. W. Kenyhercz (2017) Introducing human mandible identification [(hu)MANid]:  A free, web-based GUI to classify human mandibles.  Journal of Forensic Sciences 62(6):1592-1598. [A2.1, A2.2]</w:t>
      </w:r>
    </w:p>
    <w:p w14:paraId="56BFA9C7"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 xml:space="preserve">Boldsen J. L., Milner, G. R., Konigsberg, L. W., &amp; Wood, J. W. (2002). Transition analysis: A new method for estimation age from skeletons. In: Hoppa, R.D., Vaupel, J.W., editors. </w:t>
      </w:r>
      <w:proofErr w:type="spellStart"/>
      <w:r w:rsidRPr="005B42C9">
        <w:rPr>
          <w:rFonts w:ascii="Arial" w:eastAsia="Calibri" w:hAnsi="Arial" w:cs="Arial"/>
          <w:sz w:val="22"/>
          <w:szCs w:val="22"/>
        </w:rPr>
        <w:t>Paleodemography</w:t>
      </w:r>
      <w:proofErr w:type="spellEnd"/>
      <w:r w:rsidRPr="005B42C9">
        <w:rPr>
          <w:rFonts w:ascii="Arial" w:eastAsia="Calibri" w:hAnsi="Arial" w:cs="Arial"/>
          <w:sz w:val="22"/>
          <w:szCs w:val="22"/>
        </w:rPr>
        <w:t>: Age distributions from skeletal samples. Cambridge: Cambridge University Press. P 73-106. [A2.1, A2.2]</w:t>
      </w:r>
    </w:p>
    <w:p w14:paraId="11E121C5" w14:textId="77777777" w:rsidR="005B42C9" w:rsidRPr="005B42C9" w:rsidRDefault="005B42C9" w:rsidP="002068AC">
      <w:pPr>
        <w:spacing w:after="240"/>
        <w:jc w:val="both"/>
        <w:rPr>
          <w:rFonts w:ascii="Arial" w:eastAsia="Calibri" w:hAnsi="Arial" w:cs="Arial"/>
          <w:sz w:val="22"/>
          <w:szCs w:val="22"/>
        </w:rPr>
      </w:pPr>
      <w:proofErr w:type="spellStart"/>
      <w:r w:rsidRPr="005B42C9">
        <w:rPr>
          <w:rFonts w:ascii="Arial" w:eastAsia="Calibri" w:hAnsi="Arial" w:cs="Arial"/>
          <w:sz w:val="22"/>
          <w:szCs w:val="22"/>
        </w:rPr>
        <w:t>Brůžek</w:t>
      </w:r>
      <w:proofErr w:type="spellEnd"/>
      <w:r w:rsidRPr="005B42C9">
        <w:rPr>
          <w:rFonts w:ascii="Arial" w:eastAsia="Calibri" w:hAnsi="Arial" w:cs="Arial"/>
          <w:sz w:val="22"/>
          <w:szCs w:val="22"/>
        </w:rPr>
        <w:t xml:space="preserve">, J., Santos, F., </w:t>
      </w:r>
      <w:proofErr w:type="spellStart"/>
      <w:r w:rsidRPr="005B42C9">
        <w:rPr>
          <w:rFonts w:ascii="Arial" w:eastAsia="Calibri" w:hAnsi="Arial" w:cs="Arial"/>
          <w:sz w:val="22"/>
          <w:szCs w:val="22"/>
        </w:rPr>
        <w:t>Dutailly</w:t>
      </w:r>
      <w:proofErr w:type="spellEnd"/>
      <w:r w:rsidRPr="005B42C9">
        <w:rPr>
          <w:rFonts w:ascii="Arial" w:eastAsia="Calibri" w:hAnsi="Arial" w:cs="Arial"/>
          <w:sz w:val="22"/>
          <w:szCs w:val="22"/>
        </w:rPr>
        <w:t xml:space="preserve">, B., Murail, P., &amp; Cunha, E. (2017). Validation and reliability of the sex estimation of the human </w:t>
      </w:r>
      <w:proofErr w:type="spellStart"/>
      <w:r w:rsidRPr="005B42C9">
        <w:rPr>
          <w:rFonts w:ascii="Arial" w:eastAsia="Calibri" w:hAnsi="Arial" w:cs="Arial"/>
          <w:sz w:val="22"/>
          <w:szCs w:val="22"/>
        </w:rPr>
        <w:t>os</w:t>
      </w:r>
      <w:proofErr w:type="spellEnd"/>
      <w:r w:rsidRPr="005B42C9">
        <w:rPr>
          <w:rFonts w:ascii="Arial" w:eastAsia="Calibri" w:hAnsi="Arial" w:cs="Arial"/>
          <w:sz w:val="22"/>
          <w:szCs w:val="22"/>
        </w:rPr>
        <w:t xml:space="preserve"> coxae using freely available DSP2 software for </w:t>
      </w:r>
      <w:proofErr w:type="spellStart"/>
      <w:r w:rsidRPr="005B42C9">
        <w:rPr>
          <w:rFonts w:ascii="Arial" w:eastAsia="Calibri" w:hAnsi="Arial" w:cs="Arial"/>
          <w:sz w:val="22"/>
          <w:szCs w:val="22"/>
        </w:rPr>
        <w:t>bioarchaeology</w:t>
      </w:r>
      <w:proofErr w:type="spellEnd"/>
      <w:r w:rsidRPr="005B42C9">
        <w:rPr>
          <w:rFonts w:ascii="Arial" w:eastAsia="Calibri" w:hAnsi="Arial" w:cs="Arial"/>
          <w:sz w:val="22"/>
          <w:szCs w:val="22"/>
        </w:rPr>
        <w:t xml:space="preserve"> and forensic anthropology. American journal of physical anthropology, 164(2), 440-449. </w:t>
      </w:r>
    </w:p>
    <w:p w14:paraId="04D93A51"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Hartnett, K. M. (2010) Analysis of age-at-death estimation using data from a new, modern autopsy sample—Part I:  Pubic bone.  Journal of Forensic Sciences 55:1145-1151. [A2.1]</w:t>
      </w:r>
    </w:p>
    <w:p w14:paraId="1C9EEE4D"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Hartnett, K. M. (2010) Analysis of age-at-death estimation using data from a new, modern autopsy sample—Part II:  Sternal end of the fourth rib.  Journal of Forensic Sciences 55:1152-1156. [A2.1]</w:t>
      </w:r>
    </w:p>
    <w:p w14:paraId="1828AE48"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Hefner, J. T. (2009) Cranial nonmetric variation and estimating ancestry.  Journal of Forensic Sciences 54:985-995. [A2.1]</w:t>
      </w:r>
    </w:p>
    <w:p w14:paraId="6BB2BD5F"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lastRenderedPageBreak/>
        <w:t>Hefner, J. T. (2018) The Macromorphoscopic Databank.  American Journal of Physical Anthropology 166:994-1004. [A2.1, A2.2]</w:t>
      </w:r>
    </w:p>
    <w:p w14:paraId="4317CEB6"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Hefner, J.T., and Linde, K.C. (2018). Atlas of Human Cranial Macromorphoscopic Traits.  Academic Press, San Diego, CA.  [A2.1, A2.2]</w:t>
      </w:r>
    </w:p>
    <w:p w14:paraId="0361F6DC"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Jantz, R. L., L. M. Jantz, S. D. Ousley 2020. Measuring the Tibia: Trotter's Error Revisited. Journal of Forensic Sciences 65:2094-2097  [A2.1]</w:t>
      </w:r>
    </w:p>
    <w:p w14:paraId="6048081F" w14:textId="64DB3805" w:rsidR="005B42C9" w:rsidRPr="005B42C9" w:rsidRDefault="005B42C9" w:rsidP="002068AC">
      <w:pPr>
        <w:spacing w:after="240"/>
        <w:jc w:val="both"/>
        <w:rPr>
          <w:rFonts w:ascii="Arial" w:eastAsia="Calibri" w:hAnsi="Arial" w:cs="Arial"/>
          <w:sz w:val="22"/>
          <w:szCs w:val="22"/>
        </w:rPr>
      </w:pPr>
      <w:proofErr w:type="spellStart"/>
      <w:r w:rsidRPr="005B42C9">
        <w:rPr>
          <w:rFonts w:ascii="Arial" w:eastAsia="Calibri" w:hAnsi="Arial" w:cs="Arial"/>
          <w:sz w:val="22"/>
          <w:szCs w:val="22"/>
        </w:rPr>
        <w:t>Klales</w:t>
      </w:r>
      <w:proofErr w:type="spellEnd"/>
      <w:r w:rsidRPr="005B42C9">
        <w:rPr>
          <w:rFonts w:ascii="Arial" w:eastAsia="Calibri" w:hAnsi="Arial" w:cs="Arial"/>
          <w:sz w:val="22"/>
          <w:szCs w:val="22"/>
        </w:rPr>
        <w:t xml:space="preserve"> AR, and Cole SJ. 2018. </w:t>
      </w:r>
      <w:proofErr w:type="spellStart"/>
      <w:r w:rsidRPr="005B42C9">
        <w:rPr>
          <w:rFonts w:ascii="Arial" w:eastAsia="Calibri" w:hAnsi="Arial" w:cs="Arial"/>
          <w:sz w:val="22"/>
          <w:szCs w:val="22"/>
        </w:rPr>
        <w:t>MorphoPASSE</w:t>
      </w:r>
      <w:proofErr w:type="spellEnd"/>
      <w:r w:rsidRPr="005B42C9">
        <w:rPr>
          <w:rFonts w:ascii="Arial" w:eastAsia="Calibri" w:hAnsi="Arial" w:cs="Arial"/>
          <w:sz w:val="22"/>
          <w:szCs w:val="22"/>
        </w:rPr>
        <w:t xml:space="preserve">: the Morphological Pelvis and Skull Sex Estimation Database Manual. Version 1.0. Topeka, KS: Washburn, University. [Including the program: </w:t>
      </w:r>
      <w:hyperlink r:id="rId10" w:history="1">
        <w:r w:rsidRPr="00F5713E">
          <w:rPr>
            <w:rStyle w:val="Hyperlink"/>
            <w:rFonts w:ascii="Arial" w:eastAsia="Calibri" w:hAnsi="Arial" w:cs="Arial"/>
            <w:sz w:val="22"/>
            <w:szCs w:val="22"/>
          </w:rPr>
          <w:t>https://www.morphopasse.com/program.html</w:t>
        </w:r>
      </w:hyperlink>
      <w:r w:rsidRPr="005B42C9">
        <w:rPr>
          <w:rFonts w:ascii="Arial" w:eastAsia="Calibri" w:hAnsi="Arial" w:cs="Arial"/>
          <w:sz w:val="22"/>
          <w:szCs w:val="22"/>
        </w:rPr>
        <w:t>]  [A2.1, A2.2]</w:t>
      </w:r>
    </w:p>
    <w:p w14:paraId="466C81ED"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Langley-Shirley, N., and R. L. Jantz (2010) A Bayesian approach to age estimation in modern Americans from the clavicle.  Journal of Forensic Sciences 55:571-583. [A2.1]</w:t>
      </w:r>
    </w:p>
    <w:p w14:paraId="4BC133D1"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Langley, N. R., Jantz, L. M., Ousley, S. D., Jantz, R. L., &amp; Milner, G. (2016). Data collection procedures for forensic skeletal material 2.0. University of Tennessee and Lincoln Memorial University. [A1.5, A1.6, A2.1, A2.2]</w:t>
      </w:r>
    </w:p>
    <w:p w14:paraId="4DEDC725"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Lewis, C. J., and H. M. Garvin (2016) Reliability of the Walker cranial nonmetric method and implications for sex estimation.  Journal of Forensic Sciences 61:743-751. [A2.1]</w:t>
      </w:r>
    </w:p>
    <w:p w14:paraId="35FDB7B3"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Osborne, D. L., T. L. Simmons, and S. P. Nawrocki (2004) Reconsidering the auricular surface as an indicator of age at death.  Journal of Forensic Sciences 49:905-911. [A2.1]</w:t>
      </w:r>
    </w:p>
    <w:p w14:paraId="617D1F06"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Ousley, S. D. and R. L. Jantz (2012) Fordisc 3 and statistical methods for estimating sex and ancestry.  In A Companion to Forensic Anthropology, ed. by D. C. Dirkmaat, pp. 311-329.  Wiley-Blackwell, Chichester, UK.  [A2.1, A2.2]</w:t>
      </w:r>
    </w:p>
    <w:p w14:paraId="181C1095"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Raxter, M. H., B. M. Auerbach, and C. B. Ruff (2006) Revision of the Fully technique for estimating statures.  American Journal of Physical Anthropology 130:374-384. [A2.1]</w:t>
      </w:r>
    </w:p>
    <w:p w14:paraId="07B4F116" w14:textId="7455F86E"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 xml:space="preserve">Scott, G. R., M. A. Pilloud, D. </w:t>
      </w:r>
      <w:proofErr w:type="spellStart"/>
      <w:r w:rsidRPr="005B42C9">
        <w:rPr>
          <w:rFonts w:ascii="Arial" w:eastAsia="Calibri" w:hAnsi="Arial" w:cs="Arial"/>
          <w:sz w:val="22"/>
          <w:szCs w:val="22"/>
        </w:rPr>
        <w:t>Navega</w:t>
      </w:r>
      <w:proofErr w:type="spellEnd"/>
      <w:r w:rsidRPr="005B42C9">
        <w:rPr>
          <w:rFonts w:ascii="Arial" w:eastAsia="Calibri" w:hAnsi="Arial" w:cs="Arial"/>
          <w:sz w:val="22"/>
          <w:szCs w:val="22"/>
        </w:rPr>
        <w:t xml:space="preserve">, J. </w:t>
      </w:r>
      <w:proofErr w:type="spellStart"/>
      <w:r w:rsidRPr="005B42C9">
        <w:rPr>
          <w:rFonts w:ascii="Arial" w:eastAsia="Calibri" w:hAnsi="Arial" w:cs="Arial"/>
          <w:sz w:val="22"/>
          <w:szCs w:val="22"/>
        </w:rPr>
        <w:t>d’Oliveira</w:t>
      </w:r>
      <w:proofErr w:type="spellEnd"/>
      <w:r w:rsidRPr="005B42C9">
        <w:rPr>
          <w:rFonts w:ascii="Arial" w:eastAsia="Calibri" w:hAnsi="Arial" w:cs="Arial"/>
          <w:sz w:val="22"/>
          <w:szCs w:val="22"/>
        </w:rPr>
        <w:t xml:space="preserve"> Coelho, E. Cunha, and D. J. Irish (2018) </w:t>
      </w:r>
      <w:proofErr w:type="spellStart"/>
      <w:r w:rsidRPr="005B42C9">
        <w:rPr>
          <w:rFonts w:ascii="Arial" w:eastAsia="Calibri" w:hAnsi="Arial" w:cs="Arial"/>
          <w:sz w:val="22"/>
          <w:szCs w:val="22"/>
        </w:rPr>
        <w:t>rASUDAS</w:t>
      </w:r>
      <w:proofErr w:type="spellEnd"/>
      <w:r w:rsidRPr="005B42C9">
        <w:rPr>
          <w:rFonts w:ascii="Arial" w:eastAsia="Calibri" w:hAnsi="Arial" w:cs="Arial"/>
          <w:sz w:val="22"/>
          <w:szCs w:val="22"/>
        </w:rPr>
        <w:t xml:space="preserve">:  A new web-based application for estimating ancestry from tooth morphology.  Forensic Anthropology 1(1):18-31. [Including the program: </w:t>
      </w:r>
      <w:hyperlink r:id="rId11" w:history="1">
        <w:r w:rsidRPr="00F5713E">
          <w:rPr>
            <w:rStyle w:val="Hyperlink"/>
            <w:rFonts w:ascii="Arial" w:eastAsia="Calibri" w:hAnsi="Arial" w:cs="Arial"/>
            <w:sz w:val="22"/>
            <w:szCs w:val="22"/>
          </w:rPr>
          <w:t>https://osteomics.com/rASUDAS/]</w:t>
        </w:r>
      </w:hyperlink>
      <w:r w:rsidRPr="005B42C9">
        <w:rPr>
          <w:rFonts w:ascii="Arial" w:eastAsia="Calibri" w:hAnsi="Arial" w:cs="Arial"/>
          <w:sz w:val="22"/>
          <w:szCs w:val="22"/>
        </w:rPr>
        <w:t xml:space="preserve"> [A2.1, A2.2]</w:t>
      </w:r>
    </w:p>
    <w:p w14:paraId="43917B02"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 xml:space="preserve">Shirley, N. R., and R. L. Jantz (2011) </w:t>
      </w:r>
      <w:proofErr w:type="spellStart"/>
      <w:r w:rsidRPr="005B42C9">
        <w:rPr>
          <w:rFonts w:ascii="Arial" w:eastAsia="Calibri" w:hAnsi="Arial" w:cs="Arial"/>
          <w:sz w:val="22"/>
          <w:szCs w:val="22"/>
        </w:rPr>
        <w:t>Spheno</w:t>
      </w:r>
      <w:proofErr w:type="spellEnd"/>
      <w:r w:rsidRPr="005B42C9">
        <w:rPr>
          <w:rFonts w:ascii="Arial" w:eastAsia="Calibri" w:hAnsi="Arial" w:cs="Arial"/>
          <w:sz w:val="22"/>
          <w:szCs w:val="22"/>
        </w:rPr>
        <w:t>-occipital synchondrosis fusion in modern Americans.  Journal of Forensic Sciences 56:580-585.[A2.1]</w:t>
      </w:r>
    </w:p>
    <w:p w14:paraId="3F28E766"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Spradley, M. K., and R. L. Jantz (2011) Sex estimation in forensic anthropology:  Skull versus postcranial elements.  Journal of Forensic Sciences 56:289-296.  [A2.1]</w:t>
      </w:r>
    </w:p>
    <w:p w14:paraId="1F420E92" w14:textId="6766A91A" w:rsidR="005B42C9" w:rsidRPr="005B42C9" w:rsidRDefault="005B42C9" w:rsidP="008F246A">
      <w:pPr>
        <w:spacing w:after="240"/>
        <w:jc w:val="both"/>
        <w:rPr>
          <w:rFonts w:ascii="Arial" w:eastAsia="Calibri" w:hAnsi="Arial" w:cs="Arial"/>
          <w:sz w:val="22"/>
          <w:szCs w:val="22"/>
        </w:rPr>
      </w:pPr>
      <w:r w:rsidRPr="005B42C9">
        <w:rPr>
          <w:rFonts w:ascii="Arial" w:eastAsia="Calibri" w:hAnsi="Arial" w:cs="Arial"/>
          <w:sz w:val="22"/>
          <w:szCs w:val="22"/>
        </w:rPr>
        <w:t xml:space="preserve">Turner, C. G., II, C. R. Nichol, and G. R. Scott (1991) Scoring procedures for key morphological traits of the permanent dentition:  The Arizona State University Dental Anthropology System.  In Advances in Dental Anthropology ed. by M. A. Kelley and C. S. Larsen, pp. 13-31.  Wiley-Liss, New York. [A3.4] </w:t>
      </w:r>
      <w:r w:rsidR="008F246A">
        <w:rPr>
          <w:rFonts w:ascii="Arial" w:eastAsia="Calibri" w:hAnsi="Arial" w:cs="Arial"/>
          <w:sz w:val="22"/>
          <w:szCs w:val="22"/>
        </w:rPr>
        <w:t>[</w:t>
      </w:r>
      <w:r w:rsidR="00E009B3">
        <w:rPr>
          <w:rFonts w:ascii="Arial" w:eastAsia="Calibri" w:hAnsi="Arial" w:cs="Arial"/>
          <w:sz w:val="22"/>
          <w:szCs w:val="22"/>
        </w:rPr>
        <w:t>Note: Examinees o</w:t>
      </w:r>
      <w:r w:rsidRPr="005B42C9">
        <w:rPr>
          <w:rFonts w:ascii="Arial" w:eastAsia="Calibri" w:hAnsi="Arial" w:cs="Arial"/>
          <w:sz w:val="22"/>
          <w:szCs w:val="22"/>
        </w:rPr>
        <w:t xml:space="preserve">nly need to know </w:t>
      </w:r>
      <w:r w:rsidR="00E009B3">
        <w:rPr>
          <w:rFonts w:ascii="Arial" w:eastAsia="Calibri" w:hAnsi="Arial" w:cs="Arial"/>
          <w:sz w:val="22"/>
          <w:szCs w:val="22"/>
        </w:rPr>
        <w:t xml:space="preserve">morphological traits </w:t>
      </w:r>
      <w:r w:rsidRPr="005B42C9">
        <w:rPr>
          <w:rFonts w:ascii="Arial" w:eastAsia="Calibri" w:hAnsi="Arial" w:cs="Arial"/>
          <w:sz w:val="22"/>
          <w:szCs w:val="22"/>
        </w:rPr>
        <w:t xml:space="preserve">as they relate to forensic anthropological methods - updated scoring definitions for some </w:t>
      </w:r>
      <w:proofErr w:type="spellStart"/>
      <w:r w:rsidRPr="005B42C9">
        <w:rPr>
          <w:rFonts w:ascii="Arial" w:eastAsia="Calibri" w:hAnsi="Arial" w:cs="Arial"/>
          <w:sz w:val="22"/>
          <w:szCs w:val="22"/>
        </w:rPr>
        <w:t>rASUDAS</w:t>
      </w:r>
      <w:proofErr w:type="spellEnd"/>
      <w:r w:rsidRPr="005B42C9">
        <w:rPr>
          <w:rFonts w:ascii="Arial" w:eastAsia="Calibri" w:hAnsi="Arial" w:cs="Arial"/>
          <w:sz w:val="22"/>
          <w:szCs w:val="22"/>
        </w:rPr>
        <w:t xml:space="preserve"> traits can be found in Scott, G. R., J. D. Irish (2017). [A2.1, A2.2]</w:t>
      </w:r>
      <w:r w:rsidR="008F246A">
        <w:rPr>
          <w:rFonts w:ascii="Arial" w:eastAsia="Calibri" w:hAnsi="Arial" w:cs="Arial"/>
          <w:sz w:val="22"/>
          <w:szCs w:val="22"/>
        </w:rPr>
        <w:t>]</w:t>
      </w:r>
    </w:p>
    <w:p w14:paraId="06FBFCB2" w14:textId="77777777" w:rsidR="002068AC" w:rsidRDefault="002068AC" w:rsidP="002068AC">
      <w:pPr>
        <w:jc w:val="both"/>
        <w:rPr>
          <w:rFonts w:ascii="Arial" w:eastAsia="Calibri" w:hAnsi="Arial" w:cs="Arial"/>
          <w:sz w:val="22"/>
          <w:szCs w:val="22"/>
        </w:rPr>
      </w:pPr>
    </w:p>
    <w:p w14:paraId="0E105754" w14:textId="77777777" w:rsidR="00D328A4" w:rsidRPr="005B42C9" w:rsidRDefault="00D328A4" w:rsidP="002068AC">
      <w:pPr>
        <w:jc w:val="both"/>
        <w:rPr>
          <w:rFonts w:ascii="Arial" w:eastAsia="Calibri" w:hAnsi="Arial" w:cs="Arial"/>
          <w:sz w:val="22"/>
          <w:szCs w:val="22"/>
        </w:rPr>
      </w:pPr>
    </w:p>
    <w:p w14:paraId="3D358D71" w14:textId="77777777" w:rsidR="005B42C9" w:rsidRDefault="005B42C9" w:rsidP="002068AC">
      <w:pPr>
        <w:jc w:val="both"/>
        <w:rPr>
          <w:rFonts w:ascii="Arial" w:eastAsia="Calibri" w:hAnsi="Arial" w:cs="Arial"/>
          <w:b/>
          <w:bCs/>
        </w:rPr>
      </w:pPr>
      <w:r w:rsidRPr="00D328A4">
        <w:rPr>
          <w:rFonts w:ascii="Arial" w:eastAsia="Calibri" w:hAnsi="Arial" w:cs="Arial"/>
          <w:b/>
          <w:bCs/>
        </w:rPr>
        <w:t>3. Trauma</w:t>
      </w:r>
    </w:p>
    <w:p w14:paraId="6958DF4B" w14:textId="77777777" w:rsidR="00C90799" w:rsidRPr="00D328A4" w:rsidRDefault="00C90799" w:rsidP="002068AC">
      <w:pPr>
        <w:jc w:val="both"/>
        <w:rPr>
          <w:rFonts w:ascii="Arial" w:eastAsia="Calibri" w:hAnsi="Arial" w:cs="Arial"/>
          <w:b/>
          <w:bCs/>
        </w:rPr>
      </w:pPr>
    </w:p>
    <w:tbl>
      <w:tblPr>
        <w:tblW w:w="0" w:type="auto"/>
        <w:tblCellMar>
          <w:top w:w="15" w:type="dxa"/>
          <w:left w:w="15" w:type="dxa"/>
          <w:bottom w:w="15" w:type="dxa"/>
          <w:right w:w="15" w:type="dxa"/>
        </w:tblCellMar>
        <w:tblLook w:val="04A0" w:firstRow="1" w:lastRow="0" w:firstColumn="1" w:lastColumn="0" w:noHBand="0" w:noVBand="1"/>
      </w:tblPr>
      <w:tblGrid>
        <w:gridCol w:w="653"/>
        <w:gridCol w:w="8687"/>
      </w:tblGrid>
      <w:tr w:rsidR="00307A11" w:rsidRPr="00307A11" w14:paraId="31403B8E" w14:textId="77777777" w:rsidTr="00307A11">
        <w:trPr>
          <w:trHeight w:val="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453056" w14:textId="332348F3" w:rsidR="00307A11" w:rsidRPr="00307A11" w:rsidRDefault="00307A11" w:rsidP="002068AC">
            <w:pPr>
              <w:jc w:val="both"/>
              <w:rPr>
                <w:rFonts w:ascii="Arial" w:eastAsia="Calibri" w:hAnsi="Arial" w:cs="Arial"/>
                <w:sz w:val="22"/>
                <w:szCs w:val="22"/>
              </w:rPr>
            </w:pPr>
            <w:r w:rsidRPr="00307A11">
              <w:rPr>
                <w:rFonts w:ascii="Arial" w:eastAsia="Calibri" w:hAnsi="Arial" w:cs="Arial"/>
                <w:sz w:val="22"/>
                <w:szCs w:val="22"/>
              </w:rPr>
              <w:t>A3.1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5C268F" w14:textId="77777777" w:rsidR="00307A11" w:rsidRPr="00307A11" w:rsidRDefault="00307A11" w:rsidP="002068AC">
            <w:pPr>
              <w:jc w:val="both"/>
              <w:rPr>
                <w:rFonts w:ascii="Arial" w:eastAsia="Calibri" w:hAnsi="Arial" w:cs="Arial"/>
                <w:sz w:val="22"/>
                <w:szCs w:val="22"/>
              </w:rPr>
            </w:pPr>
            <w:r w:rsidRPr="00307A11">
              <w:rPr>
                <w:rFonts w:ascii="Arial" w:eastAsia="Calibri" w:hAnsi="Arial" w:cs="Arial"/>
                <w:sz w:val="22"/>
                <w:szCs w:val="22"/>
              </w:rPr>
              <w:t>Describe classic characteristics of major classes of skeletal trauma</w:t>
            </w:r>
          </w:p>
        </w:tc>
      </w:tr>
      <w:tr w:rsidR="00307A11" w:rsidRPr="00307A11" w14:paraId="3775C8A2" w14:textId="77777777" w:rsidTr="00307A11">
        <w:trPr>
          <w:trHeight w:val="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3976F4" w14:textId="6BB25F73" w:rsidR="00307A11" w:rsidRPr="00307A11" w:rsidRDefault="00307A11" w:rsidP="002068AC">
            <w:pPr>
              <w:jc w:val="both"/>
              <w:rPr>
                <w:rFonts w:ascii="Arial" w:eastAsia="Calibri" w:hAnsi="Arial" w:cs="Arial"/>
                <w:sz w:val="22"/>
                <w:szCs w:val="22"/>
              </w:rPr>
            </w:pPr>
            <w:r w:rsidRPr="00307A11">
              <w:rPr>
                <w:rFonts w:ascii="Arial" w:eastAsia="Calibri" w:hAnsi="Arial" w:cs="Arial"/>
                <w:sz w:val="22"/>
                <w:szCs w:val="22"/>
              </w:rPr>
              <w:t>A3.2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95233E" w14:textId="77777777" w:rsidR="00307A11" w:rsidRPr="00307A11" w:rsidRDefault="00307A11" w:rsidP="002068AC">
            <w:pPr>
              <w:jc w:val="both"/>
              <w:rPr>
                <w:rFonts w:ascii="Arial" w:eastAsia="Calibri" w:hAnsi="Arial" w:cs="Arial"/>
                <w:sz w:val="22"/>
                <w:szCs w:val="22"/>
              </w:rPr>
            </w:pPr>
            <w:r w:rsidRPr="00307A11">
              <w:rPr>
                <w:rFonts w:ascii="Arial" w:eastAsia="Calibri" w:hAnsi="Arial" w:cs="Arial"/>
                <w:sz w:val="22"/>
                <w:szCs w:val="22"/>
              </w:rPr>
              <w:t>Describe characteristics of skeletal trauma timing</w:t>
            </w:r>
          </w:p>
        </w:tc>
      </w:tr>
      <w:tr w:rsidR="00307A11" w:rsidRPr="00307A11" w14:paraId="6FFBD9B9" w14:textId="77777777" w:rsidTr="00307A11">
        <w:trPr>
          <w:trHeight w:val="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9EB0CA" w14:textId="3504C26D" w:rsidR="00307A11" w:rsidRPr="00307A11" w:rsidRDefault="00307A11" w:rsidP="002068AC">
            <w:pPr>
              <w:jc w:val="both"/>
              <w:rPr>
                <w:rFonts w:ascii="Arial" w:eastAsia="Calibri" w:hAnsi="Arial" w:cs="Arial"/>
                <w:sz w:val="22"/>
                <w:szCs w:val="22"/>
              </w:rPr>
            </w:pPr>
            <w:r w:rsidRPr="00307A11">
              <w:rPr>
                <w:rFonts w:ascii="Arial" w:eastAsia="Calibri" w:hAnsi="Arial" w:cs="Arial"/>
                <w:sz w:val="22"/>
                <w:szCs w:val="22"/>
              </w:rPr>
              <w:t>A3.3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F1093B" w14:textId="77777777" w:rsidR="00307A11" w:rsidRPr="00307A11" w:rsidRDefault="00307A11" w:rsidP="002068AC">
            <w:pPr>
              <w:jc w:val="both"/>
              <w:rPr>
                <w:rFonts w:ascii="Arial" w:eastAsia="Calibri" w:hAnsi="Arial" w:cs="Arial"/>
                <w:sz w:val="22"/>
                <w:szCs w:val="22"/>
              </w:rPr>
            </w:pPr>
            <w:r w:rsidRPr="00307A11">
              <w:rPr>
                <w:rFonts w:ascii="Arial" w:eastAsia="Calibri" w:hAnsi="Arial" w:cs="Arial"/>
                <w:sz w:val="22"/>
                <w:szCs w:val="22"/>
              </w:rPr>
              <w:t>Recognize typical fracture patterns related to trauma classes</w:t>
            </w:r>
          </w:p>
        </w:tc>
      </w:tr>
      <w:tr w:rsidR="00307A11" w:rsidRPr="00307A11" w14:paraId="39A13D96" w14:textId="77777777" w:rsidTr="00307A11">
        <w:trPr>
          <w:trHeight w:val="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DC7E60" w14:textId="12A3AEFC" w:rsidR="00307A11" w:rsidRPr="00307A11" w:rsidRDefault="00307A11" w:rsidP="002068AC">
            <w:pPr>
              <w:jc w:val="both"/>
              <w:rPr>
                <w:rFonts w:ascii="Arial" w:eastAsia="Calibri" w:hAnsi="Arial" w:cs="Arial"/>
                <w:sz w:val="22"/>
                <w:szCs w:val="22"/>
              </w:rPr>
            </w:pPr>
            <w:r w:rsidRPr="00307A11">
              <w:rPr>
                <w:rFonts w:ascii="Arial" w:eastAsia="Calibri" w:hAnsi="Arial" w:cs="Arial"/>
                <w:sz w:val="22"/>
                <w:szCs w:val="22"/>
              </w:rPr>
              <w:t>A3.4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E8FF91" w14:textId="77777777" w:rsidR="00307A11" w:rsidRPr="00307A11" w:rsidRDefault="00307A11" w:rsidP="002068AC">
            <w:pPr>
              <w:jc w:val="both"/>
              <w:rPr>
                <w:rFonts w:ascii="Arial" w:eastAsia="Calibri" w:hAnsi="Arial" w:cs="Arial"/>
                <w:sz w:val="22"/>
                <w:szCs w:val="22"/>
              </w:rPr>
            </w:pPr>
            <w:r w:rsidRPr="00307A11">
              <w:rPr>
                <w:rFonts w:ascii="Arial" w:eastAsia="Calibri" w:hAnsi="Arial" w:cs="Arial"/>
                <w:sz w:val="22"/>
                <w:szCs w:val="22"/>
              </w:rPr>
              <w:t>Recognize typical fracture and burn patterns related to thermal alteration</w:t>
            </w:r>
          </w:p>
        </w:tc>
      </w:tr>
      <w:tr w:rsidR="00307A11" w:rsidRPr="00307A11" w14:paraId="66A3D1C0" w14:textId="77777777" w:rsidTr="00307A11">
        <w:trPr>
          <w:trHeight w:val="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C46A25" w14:textId="77777777" w:rsidR="00307A11" w:rsidRPr="00307A11" w:rsidRDefault="00307A11" w:rsidP="002068AC">
            <w:pPr>
              <w:jc w:val="both"/>
              <w:rPr>
                <w:rFonts w:ascii="Arial" w:eastAsia="Calibri" w:hAnsi="Arial" w:cs="Arial"/>
                <w:sz w:val="22"/>
                <w:szCs w:val="22"/>
              </w:rPr>
            </w:pPr>
            <w:r w:rsidRPr="00307A11">
              <w:rPr>
                <w:rFonts w:ascii="Arial" w:eastAsia="Calibri" w:hAnsi="Arial" w:cs="Arial"/>
                <w:sz w:val="22"/>
                <w:szCs w:val="22"/>
              </w:rPr>
              <w:t>A3.5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2918A8" w14:textId="77777777" w:rsidR="00307A11" w:rsidRPr="00307A11" w:rsidRDefault="00307A11" w:rsidP="002068AC">
            <w:pPr>
              <w:jc w:val="both"/>
              <w:rPr>
                <w:rFonts w:ascii="Arial" w:eastAsia="Calibri" w:hAnsi="Arial" w:cs="Arial"/>
                <w:sz w:val="22"/>
                <w:szCs w:val="22"/>
              </w:rPr>
            </w:pPr>
            <w:r w:rsidRPr="00307A11">
              <w:rPr>
                <w:rFonts w:ascii="Arial" w:eastAsia="Calibri" w:hAnsi="Arial" w:cs="Arial"/>
                <w:sz w:val="22"/>
                <w:szCs w:val="22"/>
              </w:rPr>
              <w:t xml:space="preserve">Differentiate traumatic changes to bone from normal skeletal variants, taphonomic and pathological changes, including common sources of </w:t>
            </w:r>
            <w:proofErr w:type="spellStart"/>
            <w:r w:rsidRPr="00307A11">
              <w:rPr>
                <w:rFonts w:ascii="Arial" w:eastAsia="Calibri" w:hAnsi="Arial" w:cs="Arial"/>
                <w:sz w:val="22"/>
                <w:szCs w:val="22"/>
              </w:rPr>
              <w:t>pseudotrauma</w:t>
            </w:r>
            <w:proofErr w:type="spellEnd"/>
          </w:p>
        </w:tc>
      </w:tr>
    </w:tbl>
    <w:p w14:paraId="4B27A60F" w14:textId="77777777" w:rsidR="005B42C9" w:rsidRDefault="005B42C9" w:rsidP="002068AC">
      <w:pPr>
        <w:jc w:val="both"/>
        <w:rPr>
          <w:rFonts w:ascii="Arial" w:eastAsia="Calibri" w:hAnsi="Arial" w:cs="Arial"/>
          <w:b/>
          <w:bCs/>
          <w:sz w:val="22"/>
          <w:szCs w:val="22"/>
        </w:rPr>
      </w:pPr>
    </w:p>
    <w:p w14:paraId="09511792" w14:textId="77777777" w:rsidR="00307A11" w:rsidRPr="00307A11" w:rsidRDefault="00307A11" w:rsidP="002068AC">
      <w:pPr>
        <w:jc w:val="both"/>
        <w:rPr>
          <w:rFonts w:ascii="Arial" w:eastAsia="Calibri" w:hAnsi="Arial" w:cs="Arial"/>
          <w:b/>
          <w:bCs/>
          <w:sz w:val="22"/>
          <w:szCs w:val="22"/>
        </w:rPr>
      </w:pPr>
    </w:p>
    <w:p w14:paraId="4B1A5CCC" w14:textId="77777777" w:rsidR="005B42C9" w:rsidRPr="00307A11" w:rsidRDefault="005B42C9" w:rsidP="002068AC">
      <w:pPr>
        <w:jc w:val="both"/>
        <w:rPr>
          <w:rFonts w:ascii="Arial" w:eastAsia="Calibri" w:hAnsi="Arial" w:cs="Arial"/>
          <w:b/>
          <w:bCs/>
          <w:sz w:val="22"/>
          <w:szCs w:val="22"/>
        </w:rPr>
      </w:pPr>
      <w:r w:rsidRPr="00307A11">
        <w:rPr>
          <w:rFonts w:ascii="Arial" w:eastAsia="Calibri" w:hAnsi="Arial" w:cs="Arial"/>
          <w:b/>
          <w:bCs/>
          <w:sz w:val="22"/>
          <w:szCs w:val="22"/>
        </w:rPr>
        <w:t>References</w:t>
      </w:r>
    </w:p>
    <w:p w14:paraId="7F855F47" w14:textId="3BBC182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 xml:space="preserve">ANSI/ASB Std. 147, 1st  Ed. (2024). Standard for Analyzing Skeletal Trauma in Forensic Anthropology. </w:t>
      </w:r>
      <w:hyperlink r:id="rId12" w:history="1">
        <w:r w:rsidRPr="00F5713E">
          <w:rPr>
            <w:rStyle w:val="Hyperlink"/>
            <w:rFonts w:ascii="Arial" w:eastAsia="Calibri" w:hAnsi="Arial" w:cs="Arial"/>
            <w:sz w:val="22"/>
            <w:szCs w:val="22"/>
          </w:rPr>
          <w:t>https://www.aafs.org/search/standards</w:t>
        </w:r>
      </w:hyperlink>
      <w:r w:rsidRPr="005B42C9">
        <w:rPr>
          <w:rFonts w:ascii="Arial" w:eastAsia="Calibri" w:hAnsi="Arial" w:cs="Arial"/>
          <w:sz w:val="22"/>
          <w:szCs w:val="22"/>
        </w:rPr>
        <w:t xml:space="preserve"> </w:t>
      </w:r>
    </w:p>
    <w:p w14:paraId="3AA533A9"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Berryman, H. E. (2019). A systematic approach to the interpretation of gunshot wound trauma to the cranium. Forensic science international, 301, 306-317. [A3.1, A3.3]</w:t>
      </w:r>
    </w:p>
    <w:p w14:paraId="6EBBA073"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Berryman, H. E., J. F. Berryman, and T. B. Saul (2018) Bone trauma analysis in a forensic setting: theoretical basis and a practical approach for evaluation. In Forensic Anthropology: Theoretical Framework and Scientific Basis, ed. by C. C. Boyd and D. C. Boyd, pp. 213-234. [A3.1, A3.3]</w:t>
      </w:r>
    </w:p>
    <w:p w14:paraId="2F07559D"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 xml:space="preserve">Christensen, A. M., V. A. Smith, V. Ramos, C. </w:t>
      </w:r>
      <w:proofErr w:type="spellStart"/>
      <w:r w:rsidRPr="005B42C9">
        <w:rPr>
          <w:rFonts w:ascii="Arial" w:eastAsia="Calibri" w:hAnsi="Arial" w:cs="Arial"/>
          <w:sz w:val="22"/>
          <w:szCs w:val="22"/>
        </w:rPr>
        <w:t>Shegogue</w:t>
      </w:r>
      <w:proofErr w:type="spellEnd"/>
      <w:r w:rsidRPr="005B42C9">
        <w:rPr>
          <w:rFonts w:ascii="Arial" w:eastAsia="Calibri" w:hAnsi="Arial" w:cs="Arial"/>
          <w:sz w:val="22"/>
          <w:szCs w:val="22"/>
        </w:rPr>
        <w:t>, and M. Whitworth (2012) Primary and secondary skeletal blast trauma.  Journal of Forensic Sciences 57:6-11. [A3.3]</w:t>
      </w:r>
    </w:p>
    <w:p w14:paraId="476C28FF"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Fleischman JM, Soto Martinez ME, Wiersema JM, Pinto DC. (2020). The Role of the Forensic Anthropologist in the Pediatric Autopsy: Interpretations, Contributions, and Challenges. WIREs Forensic Science 2020;31389. [A3.1, A3.2, A3.3, A3.5]</w:t>
      </w:r>
    </w:p>
    <w:p w14:paraId="1B6DAAFC"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Glassman, D. M., and R. M. Crow (1996) Standardization model for describing the extent of burn injury to human remains.  Journal of Forensic Sciences 41:152-154. [A3.4]</w:t>
      </w:r>
    </w:p>
    <w:p w14:paraId="5945520C"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Hart G. O. (2005) Fracture pattern interpretation in the skull:  Differentiating blunt force from ballistics trauma using concentric fractures.  Journal of Forensic Sciences 50(6):1276-1281. [A3.1, A3.3]</w:t>
      </w:r>
    </w:p>
    <w:p w14:paraId="536981A8"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Herrmann, N. P., and J. L. Bennett (1999) The differentiation of traumatic and heat-related fractures in burned bone.  Journal of Forensic Sciences 44:461-469. [A3.1, A3.3]</w:t>
      </w:r>
    </w:p>
    <w:p w14:paraId="119FE812" w14:textId="77777777" w:rsidR="005B42C9" w:rsidRPr="005B42C9" w:rsidRDefault="005B42C9" w:rsidP="002068AC">
      <w:pPr>
        <w:spacing w:after="240"/>
        <w:jc w:val="both"/>
        <w:rPr>
          <w:rFonts w:ascii="Arial" w:eastAsia="Calibri" w:hAnsi="Arial" w:cs="Arial"/>
          <w:sz w:val="22"/>
          <w:szCs w:val="22"/>
        </w:rPr>
      </w:pPr>
      <w:proofErr w:type="spellStart"/>
      <w:r w:rsidRPr="005B42C9">
        <w:rPr>
          <w:rFonts w:ascii="Arial" w:eastAsia="Calibri" w:hAnsi="Arial" w:cs="Arial"/>
          <w:sz w:val="22"/>
          <w:szCs w:val="22"/>
        </w:rPr>
        <w:t>L'Abbé</w:t>
      </w:r>
      <w:proofErr w:type="spellEnd"/>
      <w:r w:rsidRPr="005B42C9">
        <w:rPr>
          <w:rFonts w:ascii="Arial" w:eastAsia="Calibri" w:hAnsi="Arial" w:cs="Arial"/>
          <w:sz w:val="22"/>
          <w:szCs w:val="22"/>
        </w:rPr>
        <w:t>, E. N., Symes, S. A., Raymond, D. E., &amp; Ubelaker, D. H. (2019). The Rorschach butterfly, understanding bone biomechanics prior to using nomenclature in bone trauma interpretations. Forensic science international, 299, 187-194. [A3.1; A3.4]</w:t>
      </w:r>
    </w:p>
    <w:p w14:paraId="3E96AC71"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Love, J. C. (2019). Sharp force trauma analysis in bone and cartilage: A literature review. Forensic science international, 299, 119-127. [A3.1, A3.3]</w:t>
      </w:r>
    </w:p>
    <w:p w14:paraId="356243D7"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lastRenderedPageBreak/>
        <w:t>Love, J. C., S. M. Derrick, and J. M. Wiersema (2011) Skeletal Atlas of Child Abuse.  Humana Press, New York.  [A3.2, A3.3, A3.5]</w:t>
      </w:r>
    </w:p>
    <w:p w14:paraId="15D17250" w14:textId="77777777" w:rsidR="005B42C9" w:rsidRPr="005B42C9" w:rsidRDefault="005B42C9" w:rsidP="002068AC">
      <w:pPr>
        <w:spacing w:after="240"/>
        <w:jc w:val="both"/>
        <w:rPr>
          <w:rFonts w:ascii="Arial" w:eastAsia="Calibri" w:hAnsi="Arial" w:cs="Arial"/>
          <w:sz w:val="22"/>
          <w:szCs w:val="22"/>
        </w:rPr>
      </w:pPr>
      <w:proofErr w:type="spellStart"/>
      <w:r w:rsidRPr="005B42C9">
        <w:rPr>
          <w:rFonts w:ascii="Arial" w:eastAsia="Calibri" w:hAnsi="Arial" w:cs="Arial"/>
          <w:sz w:val="22"/>
          <w:szCs w:val="22"/>
        </w:rPr>
        <w:t>Quatrehomme</w:t>
      </w:r>
      <w:proofErr w:type="spellEnd"/>
      <w:r w:rsidRPr="005B42C9">
        <w:rPr>
          <w:rFonts w:ascii="Arial" w:eastAsia="Calibri" w:hAnsi="Arial" w:cs="Arial"/>
          <w:sz w:val="22"/>
          <w:szCs w:val="22"/>
        </w:rPr>
        <w:t>, G., &amp; Alunni, V. (2019). The link between traumatic injury in soft and hard tissue. Forensic science international, 301, 118-128. [A3.1; A3.3]</w:t>
      </w:r>
    </w:p>
    <w:p w14:paraId="1F1B2D6C"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Sorg, M. H. (2019). Differentiating trauma from taphonomic alterations. Forensic science international, 302, 109893. [A3.5]</w:t>
      </w:r>
    </w:p>
    <w:p w14:paraId="70AA5136"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Symes, S. A., E. N. Chapman, C. W. Rainwater, L. L. Cabo, and S. M. T. Myster (2010) Knife and Saw Toolmark Analysis in Bone:  A Manual Designed for the Examination of Criminal Mutilation and Dismemberment.  Report, National Institute of Justice, Grant 2005-I-J-CX-K106. [A3.1, A3.3]</w:t>
      </w:r>
    </w:p>
    <w:p w14:paraId="50FA81AC"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Symes, S. A., C. W. Rainwater, E., N. Chapman, D. R. Gipson, and A. I. Piper (2015) Patterned thermal destruction in a forensic setting. In The Analysis of Burned Human Remains, ed. by C. W. Schmidt and S. A. Symes, pp. 17-56. Academic Press, Amsterdam. [A3.1, A3.2, A3.3, A3.4, A3.5]</w:t>
      </w:r>
    </w:p>
    <w:p w14:paraId="354D8378" w14:textId="425227E2"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Wedel, V. L., and A. Galloway, eds. (2014) Broken Bones:  Anthropological Analysis of Blunt Force Trauma (2nd ed.).  Charles C Thomas, Springfield IL. [A3.1, A3.2, A3.3, A3.5]</w:t>
      </w:r>
    </w:p>
    <w:p w14:paraId="79B96037" w14:textId="77777777" w:rsidR="005B42C9" w:rsidRPr="005B42C9" w:rsidRDefault="005B42C9" w:rsidP="002068AC">
      <w:pPr>
        <w:jc w:val="both"/>
        <w:rPr>
          <w:rFonts w:ascii="Arial" w:eastAsia="Calibri" w:hAnsi="Arial" w:cs="Arial"/>
          <w:sz w:val="22"/>
          <w:szCs w:val="22"/>
        </w:rPr>
      </w:pPr>
    </w:p>
    <w:p w14:paraId="57AD2513" w14:textId="77777777" w:rsidR="005B42C9" w:rsidRPr="005B42C9" w:rsidRDefault="005B42C9" w:rsidP="002068AC">
      <w:pPr>
        <w:jc w:val="both"/>
        <w:rPr>
          <w:rFonts w:ascii="Arial" w:eastAsia="Calibri" w:hAnsi="Arial" w:cs="Arial"/>
          <w:sz w:val="22"/>
          <w:szCs w:val="22"/>
        </w:rPr>
      </w:pPr>
    </w:p>
    <w:p w14:paraId="287436ED" w14:textId="77777777" w:rsidR="005B42C9" w:rsidRPr="005B42C9" w:rsidRDefault="005B42C9" w:rsidP="002068AC">
      <w:pPr>
        <w:jc w:val="both"/>
        <w:rPr>
          <w:rFonts w:ascii="Arial" w:eastAsia="Calibri" w:hAnsi="Arial" w:cs="Arial"/>
          <w:sz w:val="22"/>
          <w:szCs w:val="22"/>
        </w:rPr>
      </w:pPr>
    </w:p>
    <w:p w14:paraId="0D6BE097" w14:textId="77777777" w:rsidR="005B42C9" w:rsidRPr="005B42C9" w:rsidRDefault="005B42C9" w:rsidP="002068AC">
      <w:pPr>
        <w:jc w:val="both"/>
        <w:rPr>
          <w:rFonts w:ascii="Arial" w:eastAsia="Calibri" w:hAnsi="Arial" w:cs="Arial"/>
          <w:sz w:val="22"/>
          <w:szCs w:val="22"/>
        </w:rPr>
      </w:pPr>
    </w:p>
    <w:p w14:paraId="7E93C70F" w14:textId="77777777" w:rsidR="005B42C9" w:rsidRPr="005B42C9" w:rsidRDefault="005B42C9" w:rsidP="002068AC">
      <w:pPr>
        <w:jc w:val="both"/>
        <w:rPr>
          <w:rFonts w:ascii="Arial" w:eastAsia="Calibri" w:hAnsi="Arial" w:cs="Arial"/>
          <w:sz w:val="22"/>
          <w:szCs w:val="22"/>
        </w:rPr>
      </w:pPr>
    </w:p>
    <w:p w14:paraId="06489239" w14:textId="77777777" w:rsidR="005B42C9" w:rsidRPr="005B42C9" w:rsidRDefault="005B42C9" w:rsidP="002068AC">
      <w:pPr>
        <w:jc w:val="both"/>
        <w:rPr>
          <w:rFonts w:ascii="Arial" w:eastAsia="Calibri" w:hAnsi="Arial" w:cs="Arial"/>
          <w:sz w:val="22"/>
          <w:szCs w:val="22"/>
        </w:rPr>
      </w:pPr>
    </w:p>
    <w:p w14:paraId="291E4D48" w14:textId="77777777" w:rsidR="005B42C9" w:rsidRPr="005B42C9" w:rsidRDefault="005B42C9" w:rsidP="002068AC">
      <w:pPr>
        <w:jc w:val="both"/>
        <w:rPr>
          <w:rFonts w:ascii="Arial" w:eastAsia="Calibri" w:hAnsi="Arial" w:cs="Arial"/>
          <w:sz w:val="22"/>
          <w:szCs w:val="22"/>
        </w:rPr>
      </w:pPr>
    </w:p>
    <w:p w14:paraId="0A877BF5" w14:textId="77777777" w:rsidR="005B42C9" w:rsidRPr="005B42C9" w:rsidRDefault="005B42C9" w:rsidP="002068AC">
      <w:pPr>
        <w:jc w:val="both"/>
        <w:rPr>
          <w:rFonts w:ascii="Arial" w:eastAsia="Calibri" w:hAnsi="Arial" w:cs="Arial"/>
          <w:sz w:val="22"/>
          <w:szCs w:val="22"/>
        </w:rPr>
      </w:pPr>
    </w:p>
    <w:p w14:paraId="0AAB0D58" w14:textId="77777777" w:rsidR="005B42C9" w:rsidRPr="005B42C9" w:rsidRDefault="005B42C9" w:rsidP="002068AC">
      <w:pPr>
        <w:jc w:val="both"/>
        <w:rPr>
          <w:rFonts w:ascii="Arial" w:eastAsia="Calibri" w:hAnsi="Arial" w:cs="Arial"/>
          <w:sz w:val="22"/>
          <w:szCs w:val="22"/>
        </w:rPr>
      </w:pPr>
    </w:p>
    <w:p w14:paraId="5F2BAA4E" w14:textId="77777777" w:rsidR="005B42C9" w:rsidRPr="005B42C9" w:rsidRDefault="005B42C9" w:rsidP="002068AC">
      <w:pPr>
        <w:jc w:val="both"/>
        <w:rPr>
          <w:rFonts w:ascii="Arial" w:eastAsia="Calibri" w:hAnsi="Arial" w:cs="Arial"/>
          <w:sz w:val="22"/>
          <w:szCs w:val="22"/>
        </w:rPr>
      </w:pPr>
    </w:p>
    <w:p w14:paraId="29315B2A" w14:textId="77777777" w:rsidR="005B42C9" w:rsidRPr="005B42C9" w:rsidRDefault="005B42C9" w:rsidP="002068AC">
      <w:pPr>
        <w:jc w:val="both"/>
        <w:rPr>
          <w:rFonts w:ascii="Arial" w:eastAsia="Calibri" w:hAnsi="Arial" w:cs="Arial"/>
          <w:sz w:val="22"/>
          <w:szCs w:val="22"/>
        </w:rPr>
      </w:pPr>
    </w:p>
    <w:p w14:paraId="65831227" w14:textId="77777777" w:rsidR="005B42C9" w:rsidRPr="005B42C9" w:rsidRDefault="005B42C9" w:rsidP="002068AC">
      <w:pPr>
        <w:jc w:val="both"/>
        <w:rPr>
          <w:rFonts w:ascii="Arial" w:eastAsia="Calibri" w:hAnsi="Arial" w:cs="Arial"/>
          <w:sz w:val="22"/>
          <w:szCs w:val="22"/>
        </w:rPr>
      </w:pPr>
    </w:p>
    <w:p w14:paraId="705C4F56" w14:textId="77777777" w:rsidR="005B42C9" w:rsidRPr="005B42C9" w:rsidRDefault="005B42C9" w:rsidP="002068AC">
      <w:pPr>
        <w:jc w:val="both"/>
        <w:rPr>
          <w:rFonts w:ascii="Arial" w:eastAsia="Calibri" w:hAnsi="Arial" w:cs="Arial"/>
          <w:sz w:val="22"/>
          <w:szCs w:val="22"/>
        </w:rPr>
      </w:pPr>
    </w:p>
    <w:p w14:paraId="205C8909" w14:textId="77777777" w:rsidR="005B42C9" w:rsidRPr="005B42C9" w:rsidRDefault="005B42C9" w:rsidP="002068AC">
      <w:pPr>
        <w:jc w:val="both"/>
        <w:rPr>
          <w:rFonts w:ascii="Arial" w:eastAsia="Calibri" w:hAnsi="Arial" w:cs="Arial"/>
          <w:sz w:val="22"/>
          <w:szCs w:val="22"/>
        </w:rPr>
      </w:pPr>
    </w:p>
    <w:p w14:paraId="1901DC3D" w14:textId="77777777" w:rsidR="005B42C9" w:rsidRPr="005B42C9" w:rsidRDefault="005B42C9" w:rsidP="002068AC">
      <w:pPr>
        <w:jc w:val="both"/>
        <w:rPr>
          <w:rFonts w:ascii="Arial" w:eastAsia="Calibri" w:hAnsi="Arial" w:cs="Arial"/>
          <w:sz w:val="22"/>
          <w:szCs w:val="22"/>
        </w:rPr>
      </w:pPr>
    </w:p>
    <w:p w14:paraId="776ACBF3" w14:textId="77777777" w:rsidR="005B42C9" w:rsidRPr="005B42C9" w:rsidRDefault="005B42C9" w:rsidP="002068AC">
      <w:pPr>
        <w:jc w:val="both"/>
        <w:rPr>
          <w:rFonts w:ascii="Arial" w:eastAsia="Calibri" w:hAnsi="Arial" w:cs="Arial"/>
          <w:sz w:val="22"/>
          <w:szCs w:val="22"/>
        </w:rPr>
      </w:pPr>
    </w:p>
    <w:p w14:paraId="571F2788" w14:textId="77777777" w:rsidR="005B42C9" w:rsidRPr="005B42C9" w:rsidRDefault="005B42C9" w:rsidP="002068AC">
      <w:pPr>
        <w:jc w:val="both"/>
        <w:rPr>
          <w:rFonts w:ascii="Arial" w:eastAsia="Calibri" w:hAnsi="Arial" w:cs="Arial"/>
          <w:sz w:val="22"/>
          <w:szCs w:val="22"/>
        </w:rPr>
      </w:pPr>
    </w:p>
    <w:p w14:paraId="613C68CB" w14:textId="77777777" w:rsidR="005B42C9" w:rsidRPr="005B42C9" w:rsidRDefault="005B42C9" w:rsidP="002068AC">
      <w:pPr>
        <w:jc w:val="both"/>
        <w:rPr>
          <w:rFonts w:ascii="Arial" w:eastAsia="Calibri" w:hAnsi="Arial" w:cs="Arial"/>
          <w:sz w:val="22"/>
          <w:szCs w:val="22"/>
        </w:rPr>
      </w:pPr>
    </w:p>
    <w:p w14:paraId="658D0C29" w14:textId="77777777" w:rsidR="005B42C9" w:rsidRPr="005B42C9" w:rsidRDefault="005B42C9" w:rsidP="002068AC">
      <w:pPr>
        <w:jc w:val="both"/>
        <w:rPr>
          <w:rFonts w:ascii="Arial" w:eastAsia="Calibri" w:hAnsi="Arial" w:cs="Arial"/>
          <w:sz w:val="22"/>
          <w:szCs w:val="22"/>
        </w:rPr>
      </w:pPr>
    </w:p>
    <w:p w14:paraId="6F18679E" w14:textId="77777777" w:rsidR="005B42C9" w:rsidRPr="005B42C9" w:rsidRDefault="005B42C9" w:rsidP="002068AC">
      <w:pPr>
        <w:jc w:val="both"/>
        <w:rPr>
          <w:rFonts w:ascii="Arial" w:eastAsia="Calibri" w:hAnsi="Arial" w:cs="Arial"/>
          <w:sz w:val="22"/>
          <w:szCs w:val="22"/>
        </w:rPr>
      </w:pPr>
    </w:p>
    <w:p w14:paraId="164C19BA" w14:textId="77777777" w:rsidR="005B42C9" w:rsidRPr="005B42C9" w:rsidRDefault="005B42C9" w:rsidP="002068AC">
      <w:pPr>
        <w:jc w:val="both"/>
        <w:rPr>
          <w:rFonts w:ascii="Arial" w:eastAsia="Calibri" w:hAnsi="Arial" w:cs="Arial"/>
          <w:sz w:val="22"/>
          <w:szCs w:val="22"/>
        </w:rPr>
      </w:pPr>
    </w:p>
    <w:p w14:paraId="0083BBD5" w14:textId="77777777" w:rsidR="005B42C9" w:rsidRPr="005B42C9" w:rsidRDefault="005B42C9" w:rsidP="002068AC">
      <w:pPr>
        <w:jc w:val="both"/>
        <w:rPr>
          <w:rFonts w:ascii="Arial" w:eastAsia="Calibri" w:hAnsi="Arial" w:cs="Arial"/>
          <w:sz w:val="22"/>
          <w:szCs w:val="22"/>
        </w:rPr>
      </w:pPr>
    </w:p>
    <w:p w14:paraId="58C983E3" w14:textId="77777777" w:rsidR="005B42C9" w:rsidRPr="005B42C9" w:rsidRDefault="005B42C9" w:rsidP="002068AC">
      <w:pPr>
        <w:jc w:val="both"/>
        <w:rPr>
          <w:rFonts w:ascii="Arial" w:eastAsia="Calibri" w:hAnsi="Arial" w:cs="Arial"/>
          <w:sz w:val="22"/>
          <w:szCs w:val="22"/>
        </w:rPr>
      </w:pPr>
    </w:p>
    <w:p w14:paraId="45D58D6F" w14:textId="77777777" w:rsidR="005B42C9" w:rsidRPr="005B42C9" w:rsidRDefault="005B42C9" w:rsidP="002068AC">
      <w:pPr>
        <w:jc w:val="both"/>
        <w:rPr>
          <w:rFonts w:ascii="Arial" w:eastAsia="Calibri" w:hAnsi="Arial" w:cs="Arial"/>
          <w:sz w:val="22"/>
          <w:szCs w:val="22"/>
        </w:rPr>
      </w:pPr>
    </w:p>
    <w:p w14:paraId="2C9FA4D5" w14:textId="77777777" w:rsidR="005B42C9" w:rsidRPr="005B42C9" w:rsidRDefault="005B42C9" w:rsidP="002068AC">
      <w:pPr>
        <w:jc w:val="both"/>
        <w:rPr>
          <w:rFonts w:ascii="Arial" w:eastAsia="Calibri" w:hAnsi="Arial" w:cs="Arial"/>
          <w:sz w:val="22"/>
          <w:szCs w:val="22"/>
        </w:rPr>
      </w:pPr>
    </w:p>
    <w:p w14:paraId="03833A20" w14:textId="77777777" w:rsidR="005B42C9" w:rsidRPr="005B42C9" w:rsidRDefault="005B42C9" w:rsidP="002068AC">
      <w:pPr>
        <w:jc w:val="both"/>
        <w:rPr>
          <w:rFonts w:ascii="Arial" w:eastAsia="Calibri" w:hAnsi="Arial" w:cs="Arial"/>
          <w:sz w:val="22"/>
          <w:szCs w:val="22"/>
        </w:rPr>
      </w:pPr>
    </w:p>
    <w:p w14:paraId="5C59A0AF" w14:textId="77777777" w:rsidR="005B42C9" w:rsidRPr="005B42C9" w:rsidRDefault="005B42C9" w:rsidP="002068AC">
      <w:pPr>
        <w:jc w:val="both"/>
        <w:rPr>
          <w:rFonts w:ascii="Arial" w:eastAsia="Calibri" w:hAnsi="Arial" w:cs="Arial"/>
          <w:sz w:val="22"/>
          <w:szCs w:val="22"/>
        </w:rPr>
      </w:pPr>
    </w:p>
    <w:p w14:paraId="75764937" w14:textId="77777777" w:rsidR="005B42C9" w:rsidRPr="005B42C9" w:rsidRDefault="005B42C9" w:rsidP="002068AC">
      <w:pPr>
        <w:jc w:val="both"/>
        <w:rPr>
          <w:rFonts w:ascii="Arial" w:eastAsia="Calibri" w:hAnsi="Arial" w:cs="Arial"/>
          <w:sz w:val="22"/>
          <w:szCs w:val="22"/>
        </w:rPr>
      </w:pPr>
    </w:p>
    <w:p w14:paraId="55E3B58B" w14:textId="77777777" w:rsidR="005B42C9" w:rsidRPr="005B42C9" w:rsidRDefault="005B42C9" w:rsidP="002068AC">
      <w:pPr>
        <w:jc w:val="both"/>
        <w:rPr>
          <w:rFonts w:ascii="Arial" w:eastAsia="Calibri" w:hAnsi="Arial" w:cs="Arial"/>
          <w:sz w:val="22"/>
          <w:szCs w:val="22"/>
        </w:rPr>
      </w:pPr>
    </w:p>
    <w:p w14:paraId="1DDF2882" w14:textId="77777777" w:rsidR="005B42C9" w:rsidRDefault="005B42C9" w:rsidP="002068AC">
      <w:pPr>
        <w:jc w:val="both"/>
        <w:rPr>
          <w:rFonts w:ascii="Arial" w:eastAsia="Calibri" w:hAnsi="Arial" w:cs="Arial"/>
          <w:sz w:val="22"/>
          <w:szCs w:val="22"/>
        </w:rPr>
      </w:pPr>
    </w:p>
    <w:p w14:paraId="7E70CFFB" w14:textId="77777777" w:rsidR="008F246A" w:rsidRPr="005B42C9" w:rsidRDefault="008F246A" w:rsidP="002068AC">
      <w:pPr>
        <w:jc w:val="both"/>
        <w:rPr>
          <w:rFonts w:ascii="Arial" w:eastAsia="Calibri" w:hAnsi="Arial" w:cs="Arial"/>
          <w:sz w:val="22"/>
          <w:szCs w:val="22"/>
        </w:rPr>
      </w:pPr>
    </w:p>
    <w:p w14:paraId="1521C41E" w14:textId="77777777" w:rsidR="005B42C9" w:rsidRDefault="005B42C9" w:rsidP="002068AC">
      <w:pPr>
        <w:jc w:val="both"/>
        <w:rPr>
          <w:rFonts w:ascii="Arial" w:eastAsia="Calibri" w:hAnsi="Arial" w:cs="Arial"/>
          <w:b/>
          <w:bCs/>
        </w:rPr>
      </w:pPr>
      <w:r w:rsidRPr="00307A11">
        <w:rPr>
          <w:rFonts w:ascii="Arial" w:eastAsia="Calibri" w:hAnsi="Arial" w:cs="Arial"/>
          <w:b/>
          <w:bCs/>
        </w:rPr>
        <w:lastRenderedPageBreak/>
        <w:t xml:space="preserve">4. Pathological Conditions and Anomalies </w:t>
      </w:r>
    </w:p>
    <w:p w14:paraId="4F717304" w14:textId="77777777" w:rsidR="00AF59F5" w:rsidRPr="00307A11" w:rsidRDefault="00AF59F5" w:rsidP="002068AC">
      <w:pPr>
        <w:jc w:val="both"/>
        <w:rPr>
          <w:rFonts w:ascii="Arial" w:eastAsia="Calibri" w:hAnsi="Arial" w:cs="Arial"/>
          <w:b/>
          <w:bCs/>
        </w:rPr>
      </w:pPr>
    </w:p>
    <w:tbl>
      <w:tblPr>
        <w:tblW w:w="0" w:type="auto"/>
        <w:tblCellMar>
          <w:top w:w="15" w:type="dxa"/>
          <w:left w:w="15" w:type="dxa"/>
          <w:bottom w:w="15" w:type="dxa"/>
          <w:right w:w="15" w:type="dxa"/>
        </w:tblCellMar>
        <w:tblLook w:val="04A0" w:firstRow="1" w:lastRow="0" w:firstColumn="1" w:lastColumn="0" w:noHBand="0" w:noVBand="1"/>
      </w:tblPr>
      <w:tblGrid>
        <w:gridCol w:w="653"/>
        <w:gridCol w:w="8662"/>
      </w:tblGrid>
      <w:tr w:rsidR="00AF59F5" w:rsidRPr="00AF59F5" w14:paraId="5B500D5D" w14:textId="77777777" w:rsidTr="00AF59F5">
        <w:trPr>
          <w:trHeight w:val="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2F4682" w14:textId="4E5652F1" w:rsidR="00AF59F5" w:rsidRPr="00AF59F5" w:rsidRDefault="00AF59F5" w:rsidP="002068AC">
            <w:pPr>
              <w:jc w:val="both"/>
              <w:rPr>
                <w:rFonts w:ascii="Arial" w:eastAsia="Calibri" w:hAnsi="Arial" w:cs="Arial"/>
                <w:sz w:val="22"/>
                <w:szCs w:val="22"/>
              </w:rPr>
            </w:pPr>
            <w:r w:rsidRPr="00AF59F5">
              <w:rPr>
                <w:rFonts w:ascii="Arial" w:eastAsia="Calibri" w:hAnsi="Arial" w:cs="Arial"/>
                <w:sz w:val="22"/>
                <w:szCs w:val="22"/>
              </w:rPr>
              <w:t>A4.1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B0A252" w14:textId="77777777" w:rsidR="00AF59F5" w:rsidRPr="00AF59F5" w:rsidRDefault="00AF59F5" w:rsidP="002068AC">
            <w:pPr>
              <w:jc w:val="both"/>
              <w:rPr>
                <w:rFonts w:ascii="Arial" w:eastAsia="Calibri" w:hAnsi="Arial" w:cs="Arial"/>
                <w:sz w:val="22"/>
                <w:szCs w:val="22"/>
              </w:rPr>
            </w:pPr>
            <w:r w:rsidRPr="00AF59F5">
              <w:rPr>
                <w:rFonts w:ascii="Arial" w:eastAsia="Calibri" w:hAnsi="Arial" w:cs="Arial"/>
                <w:sz w:val="22"/>
                <w:szCs w:val="22"/>
              </w:rPr>
              <w:t>Describe classic characteristics of common pathological conditions affecting bone</w:t>
            </w:r>
          </w:p>
        </w:tc>
      </w:tr>
      <w:tr w:rsidR="00AF59F5" w:rsidRPr="00AF59F5" w14:paraId="692FC253" w14:textId="77777777" w:rsidTr="00AF59F5">
        <w:trPr>
          <w:trHeight w:val="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1D8001" w14:textId="60B8D65E" w:rsidR="00AF59F5" w:rsidRPr="00AF59F5" w:rsidRDefault="00AF59F5" w:rsidP="002068AC">
            <w:pPr>
              <w:jc w:val="both"/>
              <w:rPr>
                <w:rFonts w:ascii="Arial" w:eastAsia="Calibri" w:hAnsi="Arial" w:cs="Arial"/>
                <w:sz w:val="22"/>
                <w:szCs w:val="22"/>
              </w:rPr>
            </w:pPr>
            <w:r w:rsidRPr="00AF59F5">
              <w:rPr>
                <w:rFonts w:ascii="Arial" w:eastAsia="Calibri" w:hAnsi="Arial" w:cs="Arial"/>
                <w:sz w:val="22"/>
                <w:szCs w:val="22"/>
              </w:rPr>
              <w:t>A4.2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C46A52" w14:textId="77777777" w:rsidR="00AF59F5" w:rsidRPr="00AF59F5" w:rsidRDefault="00AF59F5" w:rsidP="002068AC">
            <w:pPr>
              <w:jc w:val="both"/>
              <w:rPr>
                <w:rFonts w:ascii="Arial" w:eastAsia="Calibri" w:hAnsi="Arial" w:cs="Arial"/>
                <w:sz w:val="22"/>
                <w:szCs w:val="22"/>
              </w:rPr>
            </w:pPr>
            <w:r w:rsidRPr="00AF59F5">
              <w:rPr>
                <w:rFonts w:ascii="Arial" w:eastAsia="Calibri" w:hAnsi="Arial" w:cs="Arial"/>
                <w:sz w:val="22"/>
                <w:szCs w:val="22"/>
              </w:rPr>
              <w:t>Describe classic characteristics of common anatomical variants and skeletal anomalies</w:t>
            </w:r>
          </w:p>
        </w:tc>
      </w:tr>
    </w:tbl>
    <w:p w14:paraId="6B4A8169" w14:textId="77777777" w:rsidR="005B42C9" w:rsidRDefault="005B42C9" w:rsidP="002068AC">
      <w:pPr>
        <w:jc w:val="both"/>
        <w:rPr>
          <w:rFonts w:ascii="Arial" w:eastAsia="Calibri" w:hAnsi="Arial" w:cs="Arial"/>
          <w:sz w:val="22"/>
          <w:szCs w:val="22"/>
        </w:rPr>
      </w:pPr>
    </w:p>
    <w:p w14:paraId="084B09C7" w14:textId="77777777" w:rsidR="00AF59F5" w:rsidRPr="005B42C9" w:rsidRDefault="00AF59F5" w:rsidP="002068AC">
      <w:pPr>
        <w:jc w:val="both"/>
        <w:rPr>
          <w:rFonts w:ascii="Arial" w:eastAsia="Calibri" w:hAnsi="Arial" w:cs="Arial"/>
          <w:sz w:val="22"/>
          <w:szCs w:val="22"/>
        </w:rPr>
      </w:pPr>
    </w:p>
    <w:p w14:paraId="24537AB4" w14:textId="77777777" w:rsidR="005B42C9" w:rsidRPr="00AF59F5" w:rsidRDefault="005B42C9" w:rsidP="002068AC">
      <w:pPr>
        <w:jc w:val="both"/>
        <w:rPr>
          <w:rFonts w:ascii="Arial" w:eastAsia="Calibri" w:hAnsi="Arial" w:cs="Arial"/>
          <w:b/>
          <w:bCs/>
          <w:sz w:val="22"/>
          <w:szCs w:val="22"/>
        </w:rPr>
      </w:pPr>
      <w:r w:rsidRPr="00AF59F5">
        <w:rPr>
          <w:rFonts w:ascii="Arial" w:eastAsia="Calibri" w:hAnsi="Arial" w:cs="Arial"/>
          <w:b/>
          <w:bCs/>
          <w:sz w:val="22"/>
          <w:szCs w:val="22"/>
        </w:rPr>
        <w:t xml:space="preserve">References </w:t>
      </w:r>
    </w:p>
    <w:p w14:paraId="0B9C3B37" w14:textId="143B0FDD"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 xml:space="preserve">ANSI/ASB Std. 134, 1st  Ed. (2021). Standard for Analyzing Pathological Conditions and Anomalies in Forensic Anthropology. </w:t>
      </w:r>
      <w:hyperlink r:id="rId13" w:history="1">
        <w:r w:rsidRPr="00F5713E">
          <w:rPr>
            <w:rStyle w:val="Hyperlink"/>
            <w:rFonts w:ascii="Arial" w:eastAsia="Calibri" w:hAnsi="Arial" w:cs="Arial"/>
            <w:sz w:val="22"/>
            <w:szCs w:val="22"/>
          </w:rPr>
          <w:t>https://www.aafs.org/search/standards</w:t>
        </w:r>
      </w:hyperlink>
      <w:r w:rsidRPr="005B42C9">
        <w:rPr>
          <w:rFonts w:ascii="Arial" w:eastAsia="Calibri" w:hAnsi="Arial" w:cs="Arial"/>
          <w:sz w:val="22"/>
          <w:szCs w:val="22"/>
        </w:rPr>
        <w:t xml:space="preserve"> </w:t>
      </w:r>
    </w:p>
    <w:p w14:paraId="0A87D9D9" w14:textId="6C35398C"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Aufderheide, A. C., and C. Rodríguez-Martín (1998) The Cambridge Encyclopedia of Human Paleopathology.  Cambridge University Press, Cambridge. [A4.1]</w:t>
      </w:r>
    </w:p>
    <w:p w14:paraId="18BD1268"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Barnes, E. (2012) Atlas of Developmental Field Anomalies of the Human Skeleton:  A Paleopathology Perspective.  Wiley &amp; Sons, Hoboken, NJ.   [A4.1]</w:t>
      </w:r>
    </w:p>
    <w:p w14:paraId="2877D894"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Biehler-Gomez L., and C. Cattaneo. (2021) Interpreting Bone Lesions and Pathology for Forensic Practice. Academic Press, San Diego, CA. [A4.1]</w:t>
      </w:r>
    </w:p>
    <w:p w14:paraId="18BC7378"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 xml:space="preserve">Buikstra, J. (Ed.). (2019). Ortner's identification of pathological conditions in human skeletal remains. Academic Press, UK. Earlier versions of Ortner contain similar information. </w:t>
      </w:r>
    </w:p>
    <w:p w14:paraId="10A683EF"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Mann, R. W., &amp; D.R. Hunt (2019). Non-metric traits and anatomical variants that can mimic trauma in the human skeleton. Forensic Science International, 301, 202-224. [A3.5, A4.1, A4.2]</w:t>
      </w:r>
    </w:p>
    <w:p w14:paraId="5F202A49"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Mann, R. W., &amp; D.R. Hunt (2012) Photographic Regional Atlas of Bone Disease:  A Guide to Pathologic and Normal Variation in the Human Skeleton (3rd ed.).  Charles C Thomas, Springfield, IL. [A4.1, A4.2]</w:t>
      </w:r>
    </w:p>
    <w:p w14:paraId="700310C7"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 xml:space="preserve">Mann, R.W., </w:t>
      </w:r>
      <w:proofErr w:type="spellStart"/>
      <w:r w:rsidRPr="005B42C9">
        <w:rPr>
          <w:rFonts w:ascii="Arial" w:eastAsia="Calibri" w:hAnsi="Arial" w:cs="Arial"/>
          <w:sz w:val="22"/>
          <w:szCs w:val="22"/>
        </w:rPr>
        <w:t>D.R.Hunt</w:t>
      </w:r>
      <w:proofErr w:type="spellEnd"/>
      <w:r w:rsidRPr="005B42C9">
        <w:rPr>
          <w:rFonts w:ascii="Arial" w:eastAsia="Calibri" w:hAnsi="Arial" w:cs="Arial"/>
          <w:sz w:val="22"/>
          <w:szCs w:val="22"/>
        </w:rPr>
        <w:t xml:space="preserve">, &amp; S. </w:t>
      </w:r>
      <w:proofErr w:type="spellStart"/>
      <w:r w:rsidRPr="005B42C9">
        <w:rPr>
          <w:rFonts w:ascii="Arial" w:eastAsia="Calibri" w:hAnsi="Arial" w:cs="Arial"/>
          <w:sz w:val="22"/>
          <w:szCs w:val="22"/>
        </w:rPr>
        <w:t>Lozanoff</w:t>
      </w:r>
      <w:proofErr w:type="spellEnd"/>
      <w:r w:rsidRPr="005B42C9">
        <w:rPr>
          <w:rFonts w:ascii="Arial" w:eastAsia="Calibri" w:hAnsi="Arial" w:cs="Arial"/>
          <w:sz w:val="22"/>
          <w:szCs w:val="22"/>
        </w:rPr>
        <w:t>. (2016). Photographic Regional Atlas of Non-Metric Traits and Anatomical Variants in the Human Skeleton. Charles C Thomas, Springfield, IL. [A4.1, A4.2]</w:t>
      </w:r>
    </w:p>
    <w:p w14:paraId="40A78F77"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Ortner, D. J. (2012) Differential diagnosis and issues in disease classification.  In A Companion to Paleopathology, ed. by A. L. Grauer, pp. 250-267.  Wiley-Blackwell, Malden, MA. [A4.1, A4.2]</w:t>
      </w:r>
    </w:p>
    <w:p w14:paraId="773794BB" w14:textId="77777777" w:rsidR="005B42C9" w:rsidRPr="005B42C9" w:rsidRDefault="005B42C9" w:rsidP="002068AC">
      <w:pPr>
        <w:jc w:val="both"/>
        <w:rPr>
          <w:rFonts w:ascii="Arial" w:eastAsia="Calibri" w:hAnsi="Arial" w:cs="Arial"/>
          <w:sz w:val="22"/>
          <w:szCs w:val="22"/>
        </w:rPr>
      </w:pPr>
    </w:p>
    <w:p w14:paraId="2A51B53C" w14:textId="77777777" w:rsidR="005B42C9" w:rsidRPr="005B42C9" w:rsidRDefault="005B42C9" w:rsidP="002068AC">
      <w:pPr>
        <w:jc w:val="both"/>
        <w:rPr>
          <w:rFonts w:ascii="Arial" w:eastAsia="Calibri" w:hAnsi="Arial" w:cs="Arial"/>
          <w:sz w:val="22"/>
          <w:szCs w:val="22"/>
        </w:rPr>
      </w:pPr>
    </w:p>
    <w:p w14:paraId="1BA27679" w14:textId="77777777" w:rsidR="005B42C9" w:rsidRPr="005B42C9" w:rsidRDefault="005B42C9" w:rsidP="002068AC">
      <w:pPr>
        <w:jc w:val="both"/>
        <w:rPr>
          <w:rFonts w:ascii="Arial" w:eastAsia="Calibri" w:hAnsi="Arial" w:cs="Arial"/>
          <w:sz w:val="22"/>
          <w:szCs w:val="22"/>
        </w:rPr>
      </w:pPr>
    </w:p>
    <w:p w14:paraId="42A7B1DC" w14:textId="77777777" w:rsidR="005B42C9" w:rsidRPr="005B42C9" w:rsidRDefault="005B42C9" w:rsidP="002068AC">
      <w:pPr>
        <w:jc w:val="both"/>
        <w:rPr>
          <w:rFonts w:ascii="Arial" w:eastAsia="Calibri" w:hAnsi="Arial" w:cs="Arial"/>
          <w:sz w:val="22"/>
          <w:szCs w:val="22"/>
        </w:rPr>
      </w:pPr>
    </w:p>
    <w:p w14:paraId="365F1DB6" w14:textId="77777777" w:rsidR="005B42C9" w:rsidRPr="005B42C9" w:rsidRDefault="005B42C9" w:rsidP="002068AC">
      <w:pPr>
        <w:jc w:val="both"/>
        <w:rPr>
          <w:rFonts w:ascii="Arial" w:eastAsia="Calibri" w:hAnsi="Arial" w:cs="Arial"/>
          <w:sz w:val="22"/>
          <w:szCs w:val="22"/>
        </w:rPr>
      </w:pPr>
    </w:p>
    <w:p w14:paraId="7A03B252" w14:textId="77777777" w:rsidR="005B42C9" w:rsidRPr="005B42C9" w:rsidRDefault="005B42C9" w:rsidP="002068AC">
      <w:pPr>
        <w:jc w:val="both"/>
        <w:rPr>
          <w:rFonts w:ascii="Arial" w:eastAsia="Calibri" w:hAnsi="Arial" w:cs="Arial"/>
          <w:sz w:val="22"/>
          <w:szCs w:val="22"/>
        </w:rPr>
      </w:pPr>
    </w:p>
    <w:p w14:paraId="7ADCE082" w14:textId="77777777" w:rsidR="005B42C9" w:rsidRPr="005B42C9" w:rsidRDefault="005B42C9" w:rsidP="002068AC">
      <w:pPr>
        <w:jc w:val="both"/>
        <w:rPr>
          <w:rFonts w:ascii="Arial" w:eastAsia="Calibri" w:hAnsi="Arial" w:cs="Arial"/>
          <w:sz w:val="22"/>
          <w:szCs w:val="22"/>
        </w:rPr>
      </w:pPr>
    </w:p>
    <w:p w14:paraId="069DCAA6" w14:textId="77777777" w:rsidR="005B42C9" w:rsidRPr="005B42C9" w:rsidRDefault="005B42C9" w:rsidP="002068AC">
      <w:pPr>
        <w:jc w:val="both"/>
        <w:rPr>
          <w:rFonts w:ascii="Arial" w:eastAsia="Calibri" w:hAnsi="Arial" w:cs="Arial"/>
          <w:sz w:val="22"/>
          <w:szCs w:val="22"/>
        </w:rPr>
      </w:pPr>
    </w:p>
    <w:p w14:paraId="6E73F9AD" w14:textId="77777777" w:rsidR="005B42C9" w:rsidRPr="005B42C9" w:rsidRDefault="005B42C9" w:rsidP="002068AC">
      <w:pPr>
        <w:jc w:val="both"/>
        <w:rPr>
          <w:rFonts w:ascii="Arial" w:eastAsia="Calibri" w:hAnsi="Arial" w:cs="Arial"/>
          <w:sz w:val="22"/>
          <w:szCs w:val="22"/>
        </w:rPr>
      </w:pPr>
    </w:p>
    <w:p w14:paraId="723E449A" w14:textId="77777777" w:rsidR="005B42C9" w:rsidRPr="005B42C9" w:rsidRDefault="005B42C9" w:rsidP="002068AC">
      <w:pPr>
        <w:jc w:val="both"/>
        <w:rPr>
          <w:rFonts w:ascii="Arial" w:eastAsia="Calibri" w:hAnsi="Arial" w:cs="Arial"/>
          <w:sz w:val="22"/>
          <w:szCs w:val="22"/>
        </w:rPr>
      </w:pPr>
    </w:p>
    <w:p w14:paraId="59DAB15E" w14:textId="77777777" w:rsidR="005B42C9" w:rsidRPr="005B42C9" w:rsidRDefault="005B42C9" w:rsidP="002068AC">
      <w:pPr>
        <w:jc w:val="both"/>
        <w:rPr>
          <w:rFonts w:ascii="Arial" w:eastAsia="Calibri" w:hAnsi="Arial" w:cs="Arial"/>
          <w:sz w:val="22"/>
          <w:szCs w:val="22"/>
        </w:rPr>
      </w:pPr>
    </w:p>
    <w:p w14:paraId="35D352DE" w14:textId="77777777" w:rsidR="005B42C9" w:rsidRPr="005B42C9" w:rsidRDefault="005B42C9" w:rsidP="002068AC">
      <w:pPr>
        <w:jc w:val="both"/>
        <w:rPr>
          <w:rFonts w:ascii="Arial" w:eastAsia="Calibri" w:hAnsi="Arial" w:cs="Arial"/>
          <w:sz w:val="22"/>
          <w:szCs w:val="22"/>
        </w:rPr>
      </w:pPr>
    </w:p>
    <w:p w14:paraId="184F87E9" w14:textId="77777777" w:rsidR="005B42C9" w:rsidRDefault="005B42C9" w:rsidP="002068AC">
      <w:pPr>
        <w:jc w:val="both"/>
        <w:rPr>
          <w:rFonts w:ascii="Arial" w:eastAsia="Calibri" w:hAnsi="Arial" w:cs="Arial"/>
          <w:sz w:val="22"/>
          <w:szCs w:val="22"/>
        </w:rPr>
      </w:pPr>
    </w:p>
    <w:p w14:paraId="7F3B02D5" w14:textId="77777777" w:rsidR="008F246A" w:rsidRPr="005B42C9" w:rsidRDefault="008F246A" w:rsidP="002068AC">
      <w:pPr>
        <w:jc w:val="both"/>
        <w:rPr>
          <w:rFonts w:ascii="Arial" w:eastAsia="Calibri" w:hAnsi="Arial" w:cs="Arial"/>
          <w:sz w:val="22"/>
          <w:szCs w:val="22"/>
        </w:rPr>
      </w:pPr>
    </w:p>
    <w:p w14:paraId="3E1DBA34" w14:textId="77777777" w:rsidR="005B42C9" w:rsidRDefault="005B42C9" w:rsidP="002068AC">
      <w:pPr>
        <w:jc w:val="both"/>
        <w:rPr>
          <w:rFonts w:ascii="Arial" w:eastAsia="Calibri" w:hAnsi="Arial" w:cs="Arial"/>
          <w:b/>
          <w:bCs/>
        </w:rPr>
      </w:pPr>
      <w:r w:rsidRPr="00AF59F5">
        <w:rPr>
          <w:rFonts w:ascii="Arial" w:eastAsia="Calibri" w:hAnsi="Arial" w:cs="Arial"/>
          <w:b/>
          <w:bCs/>
        </w:rPr>
        <w:lastRenderedPageBreak/>
        <w:t xml:space="preserve">5. Taphonomy and the Postmortem Interval </w:t>
      </w:r>
    </w:p>
    <w:p w14:paraId="5DD9260C" w14:textId="77777777" w:rsidR="00A40CBF" w:rsidRPr="00AF59F5" w:rsidRDefault="00A40CBF" w:rsidP="002068AC">
      <w:pPr>
        <w:jc w:val="both"/>
        <w:rPr>
          <w:rFonts w:ascii="Arial" w:eastAsia="Calibri" w:hAnsi="Arial" w:cs="Arial"/>
          <w:b/>
          <w:bCs/>
        </w:rPr>
      </w:pPr>
    </w:p>
    <w:tbl>
      <w:tblPr>
        <w:tblW w:w="0" w:type="auto"/>
        <w:tblCellMar>
          <w:top w:w="15" w:type="dxa"/>
          <w:left w:w="15" w:type="dxa"/>
          <w:bottom w:w="15" w:type="dxa"/>
          <w:right w:w="15" w:type="dxa"/>
        </w:tblCellMar>
        <w:tblLook w:val="04A0" w:firstRow="1" w:lastRow="0" w:firstColumn="1" w:lastColumn="0" w:noHBand="0" w:noVBand="1"/>
      </w:tblPr>
      <w:tblGrid>
        <w:gridCol w:w="653"/>
        <w:gridCol w:w="8687"/>
      </w:tblGrid>
      <w:tr w:rsidR="00A40CBF" w:rsidRPr="00A40CBF" w14:paraId="7CAA9982" w14:textId="77777777" w:rsidTr="00A40CBF">
        <w:trPr>
          <w:trHeight w:val="5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7E69C2" w14:textId="6E959564" w:rsidR="00A40CBF" w:rsidRPr="00A40CBF" w:rsidRDefault="00A40CBF" w:rsidP="002068AC">
            <w:pPr>
              <w:jc w:val="both"/>
              <w:rPr>
                <w:rFonts w:ascii="Arial" w:eastAsia="Calibri" w:hAnsi="Arial" w:cs="Arial"/>
                <w:sz w:val="22"/>
                <w:szCs w:val="22"/>
              </w:rPr>
            </w:pPr>
            <w:r w:rsidRPr="00A40CBF">
              <w:rPr>
                <w:rFonts w:ascii="Arial" w:eastAsia="Calibri" w:hAnsi="Arial" w:cs="Arial"/>
                <w:sz w:val="22"/>
                <w:szCs w:val="22"/>
              </w:rPr>
              <w:t>A5.1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AC28EC" w14:textId="77777777" w:rsidR="00A40CBF" w:rsidRPr="00A40CBF" w:rsidRDefault="00A40CBF" w:rsidP="002068AC">
            <w:pPr>
              <w:jc w:val="both"/>
              <w:rPr>
                <w:rFonts w:ascii="Arial" w:eastAsia="Calibri" w:hAnsi="Arial" w:cs="Arial"/>
                <w:sz w:val="22"/>
                <w:szCs w:val="22"/>
              </w:rPr>
            </w:pPr>
            <w:r w:rsidRPr="00A40CBF">
              <w:rPr>
                <w:rFonts w:ascii="Arial" w:eastAsia="Calibri" w:hAnsi="Arial" w:cs="Arial"/>
                <w:sz w:val="22"/>
                <w:szCs w:val="22"/>
              </w:rPr>
              <w:t>Describe general characteristics of taphonomic features (e.g., scavenging, weathering, alterations resulting from coffin burial, trophy preparation, anatomical preparation)</w:t>
            </w:r>
          </w:p>
        </w:tc>
      </w:tr>
      <w:tr w:rsidR="00A40CBF" w:rsidRPr="00A40CBF" w14:paraId="69ED6A34" w14:textId="77777777" w:rsidTr="00A40CBF">
        <w:trPr>
          <w:trHeight w:val="72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7CFFDC6" w14:textId="77777777" w:rsidR="00A40CBF" w:rsidRPr="00A40CBF" w:rsidRDefault="00A40CBF" w:rsidP="002068AC">
            <w:pPr>
              <w:jc w:val="both"/>
              <w:rPr>
                <w:rFonts w:ascii="Arial" w:eastAsia="Calibri" w:hAnsi="Arial" w:cs="Arial"/>
                <w:sz w:val="22"/>
                <w:szCs w:val="22"/>
              </w:rPr>
            </w:pPr>
            <w:r w:rsidRPr="00A40CBF">
              <w:rPr>
                <w:rFonts w:ascii="Arial" w:eastAsia="Calibri" w:hAnsi="Arial" w:cs="Arial"/>
                <w:sz w:val="22"/>
                <w:szCs w:val="22"/>
              </w:rPr>
              <w:t>A5.2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475DFC" w14:textId="77777777" w:rsidR="00A40CBF" w:rsidRPr="00A40CBF" w:rsidRDefault="00A40CBF" w:rsidP="002068AC">
            <w:pPr>
              <w:jc w:val="both"/>
              <w:rPr>
                <w:rFonts w:ascii="Arial" w:eastAsia="Calibri" w:hAnsi="Arial" w:cs="Arial"/>
                <w:sz w:val="22"/>
                <w:szCs w:val="22"/>
              </w:rPr>
            </w:pPr>
            <w:r w:rsidRPr="00A40CBF">
              <w:rPr>
                <w:rFonts w:ascii="Arial" w:eastAsia="Calibri" w:hAnsi="Arial" w:cs="Arial"/>
                <w:sz w:val="22"/>
                <w:szCs w:val="22"/>
              </w:rPr>
              <w:t>Describe the stages of soft tissue decomposition and bone diagenesis and how variables  (scavenging, environmental, climatic, etc.) affect the rate of decomposition and estimation of  postmortem interval</w:t>
            </w:r>
          </w:p>
        </w:tc>
      </w:tr>
    </w:tbl>
    <w:p w14:paraId="4AD2C961" w14:textId="77777777" w:rsidR="005B42C9" w:rsidRPr="005B42C9" w:rsidRDefault="005B42C9" w:rsidP="002068AC">
      <w:pPr>
        <w:jc w:val="both"/>
        <w:rPr>
          <w:rFonts w:ascii="Arial" w:eastAsia="Calibri" w:hAnsi="Arial" w:cs="Arial"/>
          <w:sz w:val="22"/>
          <w:szCs w:val="22"/>
        </w:rPr>
      </w:pPr>
    </w:p>
    <w:p w14:paraId="4836AA23" w14:textId="77777777" w:rsidR="005B42C9" w:rsidRPr="005B42C9" w:rsidRDefault="005B42C9" w:rsidP="002068AC">
      <w:pPr>
        <w:jc w:val="both"/>
        <w:rPr>
          <w:rFonts w:ascii="Arial" w:eastAsia="Calibri" w:hAnsi="Arial" w:cs="Arial"/>
          <w:sz w:val="22"/>
          <w:szCs w:val="22"/>
        </w:rPr>
      </w:pPr>
    </w:p>
    <w:p w14:paraId="7429ECDE" w14:textId="77777777" w:rsidR="005B42C9" w:rsidRPr="00A40CBF" w:rsidRDefault="005B42C9" w:rsidP="002068AC">
      <w:pPr>
        <w:jc w:val="both"/>
        <w:rPr>
          <w:rFonts w:ascii="Arial" w:eastAsia="Calibri" w:hAnsi="Arial" w:cs="Arial"/>
          <w:b/>
          <w:bCs/>
          <w:sz w:val="22"/>
          <w:szCs w:val="22"/>
        </w:rPr>
      </w:pPr>
      <w:r w:rsidRPr="00A40CBF">
        <w:rPr>
          <w:rFonts w:ascii="Arial" w:eastAsia="Calibri" w:hAnsi="Arial" w:cs="Arial"/>
          <w:b/>
          <w:bCs/>
          <w:sz w:val="22"/>
          <w:szCs w:val="22"/>
        </w:rPr>
        <w:t xml:space="preserve">References </w:t>
      </w:r>
    </w:p>
    <w:p w14:paraId="15CD166D" w14:textId="3EB8B9F3"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 xml:space="preserve">ANSI/ABS Std. 149, 1st  Ed. (2024). Standard for Taphonomic Observations in Support of the Postmortem Interval. </w:t>
      </w:r>
      <w:hyperlink r:id="rId14" w:history="1">
        <w:r w:rsidRPr="00F5713E">
          <w:rPr>
            <w:rStyle w:val="Hyperlink"/>
            <w:rFonts w:ascii="Arial" w:eastAsia="Calibri" w:hAnsi="Arial" w:cs="Arial"/>
            <w:sz w:val="22"/>
            <w:szCs w:val="22"/>
          </w:rPr>
          <w:t>https://www.aafs.org/search/standards</w:t>
        </w:r>
      </w:hyperlink>
      <w:r w:rsidRPr="005B42C9">
        <w:rPr>
          <w:rFonts w:ascii="Arial" w:eastAsia="Calibri" w:hAnsi="Arial" w:cs="Arial"/>
          <w:sz w:val="22"/>
          <w:szCs w:val="22"/>
        </w:rPr>
        <w:t xml:space="preserve"> </w:t>
      </w:r>
    </w:p>
    <w:p w14:paraId="77E20233"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Haglund, W. D. (1992) Contribution of rodents to postmortem artifacts of bone and soft tissue.  Journal of Forensic Sciences 37:1459-1465. [A5.1, A5.2]</w:t>
      </w:r>
    </w:p>
    <w:p w14:paraId="347B5DFB"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Haglund, W. D., and M. H. Sorg, eds. (1997) Forensic Taphonomy:  The Postmortem Fate of Human Remains.  CRC Press, Boca Raton, FL. [A5.1, A5.2]</w:t>
      </w:r>
    </w:p>
    <w:p w14:paraId="7BD13EF8"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Megyesi, M. S., S. P. Nawrocki, and N. H. Haskell (2005) Using accumulated degree-days to estimate the postmortem interval from decomposed human remains.  Journal of Forensic Sciences 50:618-626. [A5.2]</w:t>
      </w:r>
    </w:p>
    <w:p w14:paraId="2569B9AA"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Moffatt, C., T. Simmons, and J. Lynch-Aird (2016) An improved equation for TBS and ADD:  Establishing a reliable postmortem interval framework for casework and experimental studies.  Journal of Forensic Sciences 61(S1):S201-S207. [A5.2]</w:t>
      </w:r>
    </w:p>
    <w:p w14:paraId="6404751D"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 xml:space="preserve">Pokines, J. T., E.N. </w:t>
      </w:r>
      <w:proofErr w:type="spellStart"/>
      <w:r w:rsidRPr="005B42C9">
        <w:rPr>
          <w:rFonts w:ascii="Arial" w:eastAsia="Calibri" w:hAnsi="Arial" w:cs="Arial"/>
          <w:sz w:val="22"/>
          <w:szCs w:val="22"/>
        </w:rPr>
        <w:t>L’Abbe</w:t>
      </w:r>
      <w:proofErr w:type="spellEnd"/>
      <w:r w:rsidRPr="005B42C9">
        <w:rPr>
          <w:rFonts w:ascii="Arial" w:eastAsia="Calibri" w:hAnsi="Arial" w:cs="Arial"/>
          <w:sz w:val="22"/>
          <w:szCs w:val="22"/>
        </w:rPr>
        <w:t>, and S. A. Symes, eds. (2021) Manual of Forensic Taphonomy. 2nd Edition. CRC Press, Boca Raton, FL. [A5.1]</w:t>
      </w:r>
    </w:p>
    <w:p w14:paraId="1A0DC8E2"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 xml:space="preserve">Ubelaker, D. H., and K. M. </w:t>
      </w:r>
      <w:proofErr w:type="spellStart"/>
      <w:r w:rsidRPr="005B42C9">
        <w:rPr>
          <w:rFonts w:ascii="Arial" w:eastAsia="Calibri" w:hAnsi="Arial" w:cs="Arial"/>
          <w:sz w:val="22"/>
          <w:szCs w:val="22"/>
        </w:rPr>
        <w:t>Zarenko</w:t>
      </w:r>
      <w:proofErr w:type="spellEnd"/>
      <w:r w:rsidRPr="005B42C9">
        <w:rPr>
          <w:rFonts w:ascii="Arial" w:eastAsia="Calibri" w:hAnsi="Arial" w:cs="Arial"/>
          <w:sz w:val="22"/>
          <w:szCs w:val="22"/>
        </w:rPr>
        <w:t xml:space="preserve"> (2011) Adipocere:  What is known after over two centuries of research.  Forensic Science International 208:167-172. [A5.1, A5.2]</w:t>
      </w:r>
    </w:p>
    <w:p w14:paraId="1DE0366F"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Wescott, D. J. (2018). Recent advances in forensic anthropology: decomposition research. Forensic sciences research, 3(4), 278-293. [A5.2]</w:t>
      </w:r>
    </w:p>
    <w:p w14:paraId="3D94F9DF" w14:textId="77777777" w:rsidR="005B42C9" w:rsidRPr="005B42C9" w:rsidRDefault="005B42C9" w:rsidP="002068AC">
      <w:pPr>
        <w:jc w:val="both"/>
        <w:rPr>
          <w:rFonts w:ascii="Arial" w:eastAsia="Calibri" w:hAnsi="Arial" w:cs="Arial"/>
          <w:sz w:val="22"/>
          <w:szCs w:val="22"/>
        </w:rPr>
      </w:pPr>
    </w:p>
    <w:p w14:paraId="1742A6AC" w14:textId="77777777" w:rsidR="005B42C9" w:rsidRPr="005B42C9" w:rsidRDefault="005B42C9" w:rsidP="002068AC">
      <w:pPr>
        <w:jc w:val="both"/>
        <w:rPr>
          <w:rFonts w:ascii="Arial" w:eastAsia="Calibri" w:hAnsi="Arial" w:cs="Arial"/>
          <w:sz w:val="22"/>
          <w:szCs w:val="22"/>
        </w:rPr>
      </w:pPr>
    </w:p>
    <w:p w14:paraId="7300D2F9" w14:textId="77777777" w:rsidR="005B42C9" w:rsidRPr="005B42C9" w:rsidRDefault="005B42C9" w:rsidP="002068AC">
      <w:pPr>
        <w:jc w:val="both"/>
        <w:rPr>
          <w:rFonts w:ascii="Arial" w:eastAsia="Calibri" w:hAnsi="Arial" w:cs="Arial"/>
          <w:sz w:val="22"/>
          <w:szCs w:val="22"/>
        </w:rPr>
      </w:pPr>
    </w:p>
    <w:p w14:paraId="01AA8708" w14:textId="77777777" w:rsidR="005B42C9" w:rsidRPr="005B42C9" w:rsidRDefault="005B42C9" w:rsidP="002068AC">
      <w:pPr>
        <w:jc w:val="both"/>
        <w:rPr>
          <w:rFonts w:ascii="Arial" w:eastAsia="Calibri" w:hAnsi="Arial" w:cs="Arial"/>
          <w:sz w:val="22"/>
          <w:szCs w:val="22"/>
        </w:rPr>
      </w:pPr>
    </w:p>
    <w:p w14:paraId="060AF907" w14:textId="77777777" w:rsidR="005B42C9" w:rsidRPr="005B42C9" w:rsidRDefault="005B42C9" w:rsidP="002068AC">
      <w:pPr>
        <w:jc w:val="both"/>
        <w:rPr>
          <w:rFonts w:ascii="Arial" w:eastAsia="Calibri" w:hAnsi="Arial" w:cs="Arial"/>
          <w:sz w:val="22"/>
          <w:szCs w:val="22"/>
        </w:rPr>
      </w:pPr>
    </w:p>
    <w:p w14:paraId="6E004115" w14:textId="77777777" w:rsidR="005B42C9" w:rsidRPr="005B42C9" w:rsidRDefault="005B42C9" w:rsidP="002068AC">
      <w:pPr>
        <w:jc w:val="both"/>
        <w:rPr>
          <w:rFonts w:ascii="Arial" w:eastAsia="Calibri" w:hAnsi="Arial" w:cs="Arial"/>
          <w:sz w:val="22"/>
          <w:szCs w:val="22"/>
        </w:rPr>
      </w:pPr>
    </w:p>
    <w:p w14:paraId="1ACDB4AA" w14:textId="77777777" w:rsidR="005B42C9" w:rsidRPr="005B42C9" w:rsidRDefault="005B42C9" w:rsidP="002068AC">
      <w:pPr>
        <w:jc w:val="both"/>
        <w:rPr>
          <w:rFonts w:ascii="Arial" w:eastAsia="Calibri" w:hAnsi="Arial" w:cs="Arial"/>
          <w:sz w:val="22"/>
          <w:szCs w:val="22"/>
        </w:rPr>
      </w:pPr>
    </w:p>
    <w:p w14:paraId="609893A1" w14:textId="77777777" w:rsidR="005B42C9" w:rsidRPr="005B42C9" w:rsidRDefault="005B42C9" w:rsidP="002068AC">
      <w:pPr>
        <w:jc w:val="both"/>
        <w:rPr>
          <w:rFonts w:ascii="Arial" w:eastAsia="Calibri" w:hAnsi="Arial" w:cs="Arial"/>
          <w:sz w:val="22"/>
          <w:szCs w:val="22"/>
        </w:rPr>
      </w:pPr>
    </w:p>
    <w:p w14:paraId="58647854" w14:textId="77777777" w:rsidR="005B42C9" w:rsidRPr="005B42C9" w:rsidRDefault="005B42C9" w:rsidP="002068AC">
      <w:pPr>
        <w:jc w:val="both"/>
        <w:rPr>
          <w:rFonts w:ascii="Arial" w:eastAsia="Calibri" w:hAnsi="Arial" w:cs="Arial"/>
          <w:sz w:val="22"/>
          <w:szCs w:val="22"/>
        </w:rPr>
      </w:pPr>
    </w:p>
    <w:p w14:paraId="21691D7D" w14:textId="77777777" w:rsidR="005B42C9" w:rsidRPr="005B42C9" w:rsidRDefault="005B42C9" w:rsidP="002068AC">
      <w:pPr>
        <w:jc w:val="both"/>
        <w:rPr>
          <w:rFonts w:ascii="Arial" w:eastAsia="Calibri" w:hAnsi="Arial" w:cs="Arial"/>
          <w:sz w:val="22"/>
          <w:szCs w:val="22"/>
        </w:rPr>
      </w:pPr>
    </w:p>
    <w:p w14:paraId="589CF842" w14:textId="77777777" w:rsidR="005B42C9" w:rsidRPr="005B42C9" w:rsidRDefault="005B42C9" w:rsidP="002068AC">
      <w:pPr>
        <w:jc w:val="both"/>
        <w:rPr>
          <w:rFonts w:ascii="Arial" w:eastAsia="Calibri" w:hAnsi="Arial" w:cs="Arial"/>
          <w:sz w:val="22"/>
          <w:szCs w:val="22"/>
        </w:rPr>
      </w:pPr>
    </w:p>
    <w:p w14:paraId="18ECF07E" w14:textId="77777777" w:rsidR="005B42C9" w:rsidRPr="005B42C9" w:rsidRDefault="005B42C9" w:rsidP="002068AC">
      <w:pPr>
        <w:jc w:val="both"/>
        <w:rPr>
          <w:rFonts w:ascii="Arial" w:eastAsia="Calibri" w:hAnsi="Arial" w:cs="Arial"/>
          <w:sz w:val="22"/>
          <w:szCs w:val="22"/>
        </w:rPr>
      </w:pPr>
    </w:p>
    <w:p w14:paraId="54D2D68F" w14:textId="77777777" w:rsidR="005B42C9" w:rsidRDefault="005B42C9" w:rsidP="002068AC">
      <w:pPr>
        <w:jc w:val="both"/>
        <w:rPr>
          <w:rFonts w:ascii="Arial" w:eastAsia="Calibri" w:hAnsi="Arial" w:cs="Arial"/>
          <w:sz w:val="22"/>
          <w:szCs w:val="22"/>
        </w:rPr>
      </w:pPr>
    </w:p>
    <w:p w14:paraId="51FF3D34" w14:textId="77777777" w:rsidR="00A40CBF" w:rsidRPr="005B42C9" w:rsidRDefault="00A40CBF" w:rsidP="002068AC">
      <w:pPr>
        <w:jc w:val="both"/>
        <w:rPr>
          <w:rFonts w:ascii="Arial" w:eastAsia="Calibri" w:hAnsi="Arial" w:cs="Arial"/>
          <w:sz w:val="22"/>
          <w:szCs w:val="22"/>
        </w:rPr>
      </w:pPr>
    </w:p>
    <w:p w14:paraId="377DFC0C" w14:textId="77777777" w:rsidR="005B42C9" w:rsidRPr="003B5BAC" w:rsidRDefault="005B42C9" w:rsidP="002068AC">
      <w:pPr>
        <w:jc w:val="both"/>
        <w:rPr>
          <w:rFonts w:ascii="Arial" w:eastAsia="Calibri" w:hAnsi="Arial" w:cs="Arial"/>
          <w:b/>
          <w:bCs/>
        </w:rPr>
      </w:pPr>
      <w:r w:rsidRPr="003B5BAC">
        <w:rPr>
          <w:rFonts w:ascii="Arial" w:eastAsia="Calibri" w:hAnsi="Arial" w:cs="Arial"/>
          <w:b/>
          <w:bCs/>
        </w:rPr>
        <w:lastRenderedPageBreak/>
        <w:t xml:space="preserve">6. Forensic or Medicolegal Significance </w:t>
      </w:r>
    </w:p>
    <w:p w14:paraId="752F4BBB" w14:textId="77777777" w:rsidR="00F73A5A" w:rsidRPr="00A40CBF" w:rsidRDefault="00F73A5A" w:rsidP="002068AC">
      <w:pPr>
        <w:jc w:val="both"/>
        <w:rPr>
          <w:rFonts w:ascii="Arial" w:eastAsia="Calibri" w:hAnsi="Arial" w:cs="Arial"/>
          <w:b/>
          <w:bCs/>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653"/>
        <w:gridCol w:w="8687"/>
      </w:tblGrid>
      <w:tr w:rsidR="00F73A5A" w:rsidRPr="00F73A5A" w14:paraId="3E2F2542" w14:textId="77777777" w:rsidTr="00F73A5A">
        <w:trPr>
          <w:trHeight w:val="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069E43" w14:textId="3DC810F1" w:rsidR="00F73A5A" w:rsidRPr="00F73A5A" w:rsidRDefault="00F73A5A" w:rsidP="002068AC">
            <w:pPr>
              <w:jc w:val="both"/>
              <w:rPr>
                <w:rFonts w:ascii="Arial" w:eastAsia="Calibri" w:hAnsi="Arial" w:cs="Arial"/>
                <w:sz w:val="22"/>
                <w:szCs w:val="22"/>
              </w:rPr>
            </w:pPr>
            <w:r w:rsidRPr="00F73A5A">
              <w:rPr>
                <w:rFonts w:ascii="Arial" w:eastAsia="Calibri" w:hAnsi="Arial" w:cs="Arial"/>
                <w:sz w:val="22"/>
                <w:szCs w:val="22"/>
              </w:rPr>
              <w:t>A6.1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8F2302E" w14:textId="77777777" w:rsidR="00F73A5A" w:rsidRPr="00F73A5A" w:rsidRDefault="00F73A5A" w:rsidP="002068AC">
            <w:pPr>
              <w:jc w:val="both"/>
              <w:rPr>
                <w:rFonts w:ascii="Arial" w:eastAsia="Calibri" w:hAnsi="Arial" w:cs="Arial"/>
                <w:sz w:val="22"/>
                <w:szCs w:val="22"/>
              </w:rPr>
            </w:pPr>
            <w:r w:rsidRPr="00F73A5A">
              <w:rPr>
                <w:rFonts w:ascii="Arial" w:eastAsia="Calibri" w:hAnsi="Arial" w:cs="Arial"/>
                <w:sz w:val="22"/>
                <w:szCs w:val="22"/>
              </w:rPr>
              <w:t>Determine medicolegal significance of remains based on basic anatomy/physical characteristics.</w:t>
            </w:r>
          </w:p>
        </w:tc>
      </w:tr>
      <w:tr w:rsidR="00F73A5A" w:rsidRPr="00F73A5A" w14:paraId="4AB77336" w14:textId="77777777" w:rsidTr="00F73A5A">
        <w:trPr>
          <w:trHeight w:val="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1B538EF" w14:textId="3F3EC584" w:rsidR="00F73A5A" w:rsidRPr="00F73A5A" w:rsidRDefault="00F73A5A" w:rsidP="002068AC">
            <w:pPr>
              <w:jc w:val="both"/>
              <w:rPr>
                <w:rFonts w:ascii="Arial" w:eastAsia="Calibri" w:hAnsi="Arial" w:cs="Arial"/>
                <w:sz w:val="22"/>
                <w:szCs w:val="22"/>
              </w:rPr>
            </w:pPr>
            <w:r w:rsidRPr="00F73A5A">
              <w:rPr>
                <w:rFonts w:ascii="Arial" w:eastAsia="Calibri" w:hAnsi="Arial" w:cs="Arial"/>
                <w:sz w:val="22"/>
                <w:szCs w:val="22"/>
              </w:rPr>
              <w:t>A6.2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55E824" w14:textId="77777777" w:rsidR="00F73A5A" w:rsidRPr="00F73A5A" w:rsidRDefault="00F73A5A" w:rsidP="002068AC">
            <w:pPr>
              <w:jc w:val="both"/>
              <w:rPr>
                <w:rFonts w:ascii="Arial" w:eastAsia="Calibri" w:hAnsi="Arial" w:cs="Arial"/>
                <w:sz w:val="22"/>
                <w:szCs w:val="22"/>
              </w:rPr>
            </w:pPr>
            <w:r w:rsidRPr="00F73A5A">
              <w:rPr>
                <w:rFonts w:ascii="Arial" w:eastAsia="Calibri" w:hAnsi="Arial" w:cs="Arial"/>
                <w:sz w:val="22"/>
                <w:szCs w:val="22"/>
              </w:rPr>
              <w:t>Recognize the importance of context for in situ remains</w:t>
            </w:r>
          </w:p>
        </w:tc>
      </w:tr>
    </w:tbl>
    <w:p w14:paraId="138475A4" w14:textId="77777777" w:rsidR="005B42C9" w:rsidRPr="005B42C9" w:rsidRDefault="005B42C9" w:rsidP="002068AC">
      <w:pPr>
        <w:jc w:val="both"/>
        <w:rPr>
          <w:rFonts w:ascii="Arial" w:eastAsia="Calibri" w:hAnsi="Arial" w:cs="Arial"/>
          <w:sz w:val="22"/>
          <w:szCs w:val="22"/>
        </w:rPr>
      </w:pPr>
    </w:p>
    <w:p w14:paraId="5320D083" w14:textId="77777777" w:rsidR="005B42C9" w:rsidRPr="005B42C9" w:rsidRDefault="005B42C9" w:rsidP="002068AC">
      <w:pPr>
        <w:jc w:val="both"/>
        <w:rPr>
          <w:rFonts w:ascii="Arial" w:eastAsia="Calibri" w:hAnsi="Arial" w:cs="Arial"/>
          <w:sz w:val="22"/>
          <w:szCs w:val="22"/>
        </w:rPr>
      </w:pPr>
    </w:p>
    <w:p w14:paraId="2CEC1938" w14:textId="77777777" w:rsidR="005B42C9" w:rsidRPr="003B5BAC" w:rsidRDefault="005B42C9" w:rsidP="002068AC">
      <w:pPr>
        <w:jc w:val="both"/>
        <w:rPr>
          <w:rFonts w:ascii="Arial" w:eastAsia="Calibri" w:hAnsi="Arial" w:cs="Arial"/>
          <w:b/>
          <w:bCs/>
          <w:sz w:val="22"/>
          <w:szCs w:val="22"/>
        </w:rPr>
      </w:pPr>
      <w:r w:rsidRPr="003B5BAC">
        <w:rPr>
          <w:rFonts w:ascii="Arial" w:eastAsia="Calibri" w:hAnsi="Arial" w:cs="Arial"/>
          <w:b/>
          <w:bCs/>
          <w:sz w:val="22"/>
          <w:szCs w:val="22"/>
        </w:rPr>
        <w:t xml:space="preserve">References </w:t>
      </w:r>
    </w:p>
    <w:p w14:paraId="789034D5" w14:textId="7DD6343B"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 xml:space="preserve">ANSI/ASB Std. 150, 1st  Ed. (2021). Standard for Determination of Medicolegal Significance from Skeletal Remains in Forensic Anthropology. </w:t>
      </w:r>
      <w:hyperlink r:id="rId15" w:history="1">
        <w:r w:rsidRPr="00F5713E">
          <w:rPr>
            <w:rStyle w:val="Hyperlink"/>
            <w:rFonts w:ascii="Arial" w:eastAsia="Calibri" w:hAnsi="Arial" w:cs="Arial"/>
            <w:sz w:val="22"/>
            <w:szCs w:val="22"/>
          </w:rPr>
          <w:t>https://www.aafs.org/search/standards</w:t>
        </w:r>
      </w:hyperlink>
      <w:r w:rsidRPr="005B42C9">
        <w:rPr>
          <w:rFonts w:ascii="Arial" w:eastAsia="Calibri" w:hAnsi="Arial" w:cs="Arial"/>
          <w:sz w:val="22"/>
          <w:szCs w:val="22"/>
        </w:rPr>
        <w:t xml:space="preserve"> </w:t>
      </w:r>
    </w:p>
    <w:p w14:paraId="4F47D81F"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Pokines, J.T. (2018) Differential diagnosis of the taphonomic histories of common types of forensic osseous remains.  Journal of Forensic Identification 68:87-145.  [A5.1, A6.1, A6.2]</w:t>
      </w:r>
    </w:p>
    <w:p w14:paraId="123B0A23"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Pokines J. T. Taphonomic characteristics of former anatomical teaching specimens received at a medical examiner’s office. Journal of Forensic Identification 2015;65:173-195.  [A5.1, A6.1, A6.2]</w:t>
      </w:r>
    </w:p>
    <w:p w14:paraId="7E009144"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Pokines, J. T., D. P. Zinni, and K. Crowley (2016) Taphonomic patterning of cemetery remains received at the Office of the Chief Medical Examiner, Boston, Massachusetts.  Journal of Forensic Sciences 61(S1):S184-S189. [A5.1, A6.1, A6.2]</w:t>
      </w:r>
    </w:p>
    <w:p w14:paraId="76D1D283"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Yucha, J. P., J. T. Pokines, and E. J. Bartelink (2017) A comparative taphonomic analysis of 24 trophy skulls from modern forensic cases.  Journal of Forensic Sciences 62:1266-1278. [A5.1, A6.1, A6.2]</w:t>
      </w:r>
    </w:p>
    <w:p w14:paraId="6A85F2AF" w14:textId="77777777" w:rsidR="005B42C9" w:rsidRPr="005B42C9" w:rsidRDefault="005B42C9" w:rsidP="002068AC">
      <w:pPr>
        <w:jc w:val="both"/>
        <w:rPr>
          <w:rFonts w:ascii="Arial" w:eastAsia="Calibri" w:hAnsi="Arial" w:cs="Arial"/>
          <w:sz w:val="22"/>
          <w:szCs w:val="22"/>
        </w:rPr>
      </w:pPr>
    </w:p>
    <w:p w14:paraId="2FBC1099" w14:textId="77777777" w:rsidR="005B42C9" w:rsidRPr="005B42C9" w:rsidRDefault="005B42C9" w:rsidP="002068AC">
      <w:pPr>
        <w:jc w:val="both"/>
        <w:rPr>
          <w:rFonts w:ascii="Arial" w:eastAsia="Calibri" w:hAnsi="Arial" w:cs="Arial"/>
          <w:sz w:val="22"/>
          <w:szCs w:val="22"/>
        </w:rPr>
      </w:pPr>
    </w:p>
    <w:p w14:paraId="5CD57C12" w14:textId="77777777" w:rsidR="005B42C9" w:rsidRPr="005B42C9" w:rsidRDefault="005B42C9" w:rsidP="002068AC">
      <w:pPr>
        <w:jc w:val="both"/>
        <w:rPr>
          <w:rFonts w:ascii="Arial" w:eastAsia="Calibri" w:hAnsi="Arial" w:cs="Arial"/>
          <w:sz w:val="22"/>
          <w:szCs w:val="22"/>
        </w:rPr>
      </w:pPr>
    </w:p>
    <w:p w14:paraId="0505AB1D" w14:textId="77777777" w:rsidR="005B42C9" w:rsidRPr="005B42C9" w:rsidRDefault="005B42C9" w:rsidP="002068AC">
      <w:pPr>
        <w:jc w:val="both"/>
        <w:rPr>
          <w:rFonts w:ascii="Arial" w:eastAsia="Calibri" w:hAnsi="Arial" w:cs="Arial"/>
          <w:sz w:val="22"/>
          <w:szCs w:val="22"/>
        </w:rPr>
      </w:pPr>
    </w:p>
    <w:p w14:paraId="45823294" w14:textId="77777777" w:rsidR="005B42C9" w:rsidRPr="005B42C9" w:rsidRDefault="005B42C9" w:rsidP="002068AC">
      <w:pPr>
        <w:jc w:val="both"/>
        <w:rPr>
          <w:rFonts w:ascii="Arial" w:eastAsia="Calibri" w:hAnsi="Arial" w:cs="Arial"/>
          <w:sz w:val="22"/>
          <w:szCs w:val="22"/>
        </w:rPr>
      </w:pPr>
    </w:p>
    <w:p w14:paraId="2EDB36B3" w14:textId="77777777" w:rsidR="005B42C9" w:rsidRPr="005B42C9" w:rsidRDefault="005B42C9" w:rsidP="002068AC">
      <w:pPr>
        <w:jc w:val="both"/>
        <w:rPr>
          <w:rFonts w:ascii="Arial" w:eastAsia="Calibri" w:hAnsi="Arial" w:cs="Arial"/>
          <w:sz w:val="22"/>
          <w:szCs w:val="22"/>
        </w:rPr>
      </w:pPr>
    </w:p>
    <w:p w14:paraId="2ACE5030" w14:textId="77777777" w:rsidR="005B42C9" w:rsidRPr="005B42C9" w:rsidRDefault="005B42C9" w:rsidP="002068AC">
      <w:pPr>
        <w:jc w:val="both"/>
        <w:rPr>
          <w:rFonts w:ascii="Arial" w:eastAsia="Calibri" w:hAnsi="Arial" w:cs="Arial"/>
          <w:sz w:val="22"/>
          <w:szCs w:val="22"/>
        </w:rPr>
      </w:pPr>
    </w:p>
    <w:p w14:paraId="47E70F23" w14:textId="77777777" w:rsidR="005B42C9" w:rsidRPr="005B42C9" w:rsidRDefault="005B42C9" w:rsidP="002068AC">
      <w:pPr>
        <w:jc w:val="both"/>
        <w:rPr>
          <w:rFonts w:ascii="Arial" w:eastAsia="Calibri" w:hAnsi="Arial" w:cs="Arial"/>
          <w:sz w:val="22"/>
          <w:szCs w:val="22"/>
        </w:rPr>
      </w:pPr>
    </w:p>
    <w:p w14:paraId="063C996B" w14:textId="77777777" w:rsidR="005B42C9" w:rsidRPr="005B42C9" w:rsidRDefault="005B42C9" w:rsidP="002068AC">
      <w:pPr>
        <w:jc w:val="both"/>
        <w:rPr>
          <w:rFonts w:ascii="Arial" w:eastAsia="Calibri" w:hAnsi="Arial" w:cs="Arial"/>
          <w:sz w:val="22"/>
          <w:szCs w:val="22"/>
        </w:rPr>
      </w:pPr>
    </w:p>
    <w:p w14:paraId="5DD66055" w14:textId="77777777" w:rsidR="005B42C9" w:rsidRPr="005B42C9" w:rsidRDefault="005B42C9" w:rsidP="002068AC">
      <w:pPr>
        <w:jc w:val="both"/>
        <w:rPr>
          <w:rFonts w:ascii="Arial" w:eastAsia="Calibri" w:hAnsi="Arial" w:cs="Arial"/>
          <w:sz w:val="22"/>
          <w:szCs w:val="22"/>
        </w:rPr>
      </w:pPr>
    </w:p>
    <w:p w14:paraId="043A7B25" w14:textId="77777777" w:rsidR="005B42C9" w:rsidRPr="005B42C9" w:rsidRDefault="005B42C9" w:rsidP="002068AC">
      <w:pPr>
        <w:jc w:val="both"/>
        <w:rPr>
          <w:rFonts w:ascii="Arial" w:eastAsia="Calibri" w:hAnsi="Arial" w:cs="Arial"/>
          <w:sz w:val="22"/>
          <w:szCs w:val="22"/>
        </w:rPr>
      </w:pPr>
    </w:p>
    <w:p w14:paraId="5292DAE2" w14:textId="77777777" w:rsidR="005B42C9" w:rsidRPr="005B42C9" w:rsidRDefault="005B42C9" w:rsidP="002068AC">
      <w:pPr>
        <w:jc w:val="both"/>
        <w:rPr>
          <w:rFonts w:ascii="Arial" w:eastAsia="Calibri" w:hAnsi="Arial" w:cs="Arial"/>
          <w:sz w:val="22"/>
          <w:szCs w:val="22"/>
        </w:rPr>
      </w:pPr>
    </w:p>
    <w:p w14:paraId="66E402E4" w14:textId="77777777" w:rsidR="005B42C9" w:rsidRPr="005B42C9" w:rsidRDefault="005B42C9" w:rsidP="002068AC">
      <w:pPr>
        <w:jc w:val="both"/>
        <w:rPr>
          <w:rFonts w:ascii="Arial" w:eastAsia="Calibri" w:hAnsi="Arial" w:cs="Arial"/>
          <w:sz w:val="22"/>
          <w:szCs w:val="22"/>
        </w:rPr>
      </w:pPr>
    </w:p>
    <w:p w14:paraId="544FC928" w14:textId="77777777" w:rsidR="005B42C9" w:rsidRPr="005B42C9" w:rsidRDefault="005B42C9" w:rsidP="002068AC">
      <w:pPr>
        <w:jc w:val="both"/>
        <w:rPr>
          <w:rFonts w:ascii="Arial" w:eastAsia="Calibri" w:hAnsi="Arial" w:cs="Arial"/>
          <w:sz w:val="22"/>
          <w:szCs w:val="22"/>
        </w:rPr>
      </w:pPr>
    </w:p>
    <w:p w14:paraId="13E4E5B1" w14:textId="77777777" w:rsidR="005B42C9" w:rsidRPr="005B42C9" w:rsidRDefault="005B42C9" w:rsidP="002068AC">
      <w:pPr>
        <w:jc w:val="both"/>
        <w:rPr>
          <w:rFonts w:ascii="Arial" w:eastAsia="Calibri" w:hAnsi="Arial" w:cs="Arial"/>
          <w:sz w:val="22"/>
          <w:szCs w:val="22"/>
        </w:rPr>
      </w:pPr>
    </w:p>
    <w:p w14:paraId="4F4C68D4" w14:textId="77777777" w:rsidR="005B42C9" w:rsidRPr="005B42C9" w:rsidRDefault="005B42C9" w:rsidP="002068AC">
      <w:pPr>
        <w:jc w:val="both"/>
        <w:rPr>
          <w:rFonts w:ascii="Arial" w:eastAsia="Calibri" w:hAnsi="Arial" w:cs="Arial"/>
          <w:sz w:val="22"/>
          <w:szCs w:val="22"/>
        </w:rPr>
      </w:pPr>
    </w:p>
    <w:p w14:paraId="415E6954" w14:textId="77777777" w:rsidR="005B42C9" w:rsidRPr="005B42C9" w:rsidRDefault="005B42C9" w:rsidP="002068AC">
      <w:pPr>
        <w:jc w:val="both"/>
        <w:rPr>
          <w:rFonts w:ascii="Arial" w:eastAsia="Calibri" w:hAnsi="Arial" w:cs="Arial"/>
          <w:sz w:val="22"/>
          <w:szCs w:val="22"/>
        </w:rPr>
      </w:pPr>
    </w:p>
    <w:p w14:paraId="5DFB8CF6" w14:textId="77777777" w:rsidR="005B42C9" w:rsidRPr="005B42C9" w:rsidRDefault="005B42C9" w:rsidP="002068AC">
      <w:pPr>
        <w:jc w:val="both"/>
        <w:rPr>
          <w:rFonts w:ascii="Arial" w:eastAsia="Calibri" w:hAnsi="Arial" w:cs="Arial"/>
          <w:sz w:val="22"/>
          <w:szCs w:val="22"/>
        </w:rPr>
      </w:pPr>
    </w:p>
    <w:p w14:paraId="165BA438" w14:textId="77777777" w:rsidR="005B42C9" w:rsidRPr="005B42C9" w:rsidRDefault="005B42C9" w:rsidP="002068AC">
      <w:pPr>
        <w:jc w:val="both"/>
        <w:rPr>
          <w:rFonts w:ascii="Arial" w:eastAsia="Calibri" w:hAnsi="Arial" w:cs="Arial"/>
          <w:sz w:val="22"/>
          <w:szCs w:val="22"/>
        </w:rPr>
      </w:pPr>
    </w:p>
    <w:p w14:paraId="54B7AC91" w14:textId="77777777" w:rsidR="005B42C9" w:rsidRPr="005B42C9" w:rsidRDefault="005B42C9" w:rsidP="002068AC">
      <w:pPr>
        <w:jc w:val="both"/>
        <w:rPr>
          <w:rFonts w:ascii="Arial" w:eastAsia="Calibri" w:hAnsi="Arial" w:cs="Arial"/>
          <w:sz w:val="22"/>
          <w:szCs w:val="22"/>
        </w:rPr>
      </w:pPr>
    </w:p>
    <w:p w14:paraId="256427AB" w14:textId="77777777" w:rsidR="005B42C9" w:rsidRPr="005B42C9" w:rsidRDefault="005B42C9" w:rsidP="002068AC">
      <w:pPr>
        <w:jc w:val="both"/>
        <w:rPr>
          <w:rFonts w:ascii="Arial" w:eastAsia="Calibri" w:hAnsi="Arial" w:cs="Arial"/>
          <w:sz w:val="22"/>
          <w:szCs w:val="22"/>
        </w:rPr>
      </w:pPr>
    </w:p>
    <w:p w14:paraId="0E52A1AB" w14:textId="77777777" w:rsidR="005B42C9" w:rsidRPr="005B42C9" w:rsidRDefault="005B42C9" w:rsidP="002068AC">
      <w:pPr>
        <w:jc w:val="both"/>
        <w:rPr>
          <w:rFonts w:ascii="Arial" w:eastAsia="Calibri" w:hAnsi="Arial" w:cs="Arial"/>
          <w:sz w:val="22"/>
          <w:szCs w:val="22"/>
        </w:rPr>
      </w:pPr>
    </w:p>
    <w:p w14:paraId="1310C8BC" w14:textId="77777777" w:rsidR="005B42C9" w:rsidRDefault="005B42C9" w:rsidP="002068AC">
      <w:pPr>
        <w:jc w:val="both"/>
        <w:rPr>
          <w:rFonts w:ascii="Arial" w:eastAsia="Calibri" w:hAnsi="Arial" w:cs="Arial"/>
          <w:sz w:val="22"/>
          <w:szCs w:val="22"/>
        </w:rPr>
      </w:pPr>
    </w:p>
    <w:p w14:paraId="558C62C3" w14:textId="77777777" w:rsidR="003B5BAC" w:rsidRDefault="003B5BAC" w:rsidP="002068AC">
      <w:pPr>
        <w:jc w:val="both"/>
        <w:rPr>
          <w:rFonts w:ascii="Arial" w:eastAsia="Calibri" w:hAnsi="Arial" w:cs="Arial"/>
          <w:sz w:val="22"/>
          <w:szCs w:val="22"/>
        </w:rPr>
      </w:pPr>
    </w:p>
    <w:p w14:paraId="1C0254D8" w14:textId="77777777" w:rsidR="00DD4310" w:rsidRPr="005B42C9" w:rsidRDefault="00DD4310" w:rsidP="002068AC">
      <w:pPr>
        <w:jc w:val="both"/>
        <w:rPr>
          <w:rFonts w:ascii="Arial" w:eastAsia="Calibri" w:hAnsi="Arial" w:cs="Arial"/>
          <w:sz w:val="22"/>
          <w:szCs w:val="22"/>
        </w:rPr>
      </w:pPr>
    </w:p>
    <w:p w14:paraId="05F17CD6" w14:textId="366D4339" w:rsidR="005B42C9" w:rsidRPr="00DD4310" w:rsidRDefault="005B42C9" w:rsidP="00DD4310">
      <w:pPr>
        <w:pStyle w:val="ListParagraph"/>
        <w:numPr>
          <w:ilvl w:val="0"/>
          <w:numId w:val="9"/>
        </w:numPr>
        <w:tabs>
          <w:tab w:val="left" w:pos="360"/>
        </w:tabs>
        <w:ind w:hanging="720"/>
        <w:jc w:val="both"/>
        <w:rPr>
          <w:rFonts w:ascii="Arial" w:eastAsia="Calibri" w:hAnsi="Arial" w:cs="Arial"/>
          <w:b/>
          <w:bCs/>
        </w:rPr>
      </w:pPr>
      <w:r w:rsidRPr="00DD4310">
        <w:rPr>
          <w:rFonts w:ascii="Arial" w:eastAsia="Calibri" w:hAnsi="Arial" w:cs="Arial"/>
          <w:b/>
          <w:bCs/>
        </w:rPr>
        <w:lastRenderedPageBreak/>
        <w:t>Field Recovery</w:t>
      </w:r>
    </w:p>
    <w:p w14:paraId="54C5AB4D" w14:textId="77777777" w:rsidR="00057969" w:rsidRPr="00057969" w:rsidRDefault="00057969" w:rsidP="002068AC">
      <w:pPr>
        <w:pStyle w:val="ListParagraph"/>
        <w:jc w:val="both"/>
        <w:rPr>
          <w:rFonts w:ascii="Arial" w:eastAsia="Calibri" w:hAnsi="Arial" w:cs="Arial"/>
          <w:b/>
          <w:bCs/>
        </w:rPr>
      </w:pPr>
    </w:p>
    <w:tbl>
      <w:tblPr>
        <w:tblW w:w="0" w:type="auto"/>
        <w:tblCellMar>
          <w:top w:w="15" w:type="dxa"/>
          <w:left w:w="15" w:type="dxa"/>
          <w:bottom w:w="15" w:type="dxa"/>
          <w:right w:w="15" w:type="dxa"/>
        </w:tblCellMar>
        <w:tblLook w:val="04A0" w:firstRow="1" w:lastRow="0" w:firstColumn="1" w:lastColumn="0" w:noHBand="0" w:noVBand="1"/>
      </w:tblPr>
      <w:tblGrid>
        <w:gridCol w:w="653"/>
        <w:gridCol w:w="8687"/>
      </w:tblGrid>
      <w:tr w:rsidR="00BF0F81" w:rsidRPr="00BF0F81" w14:paraId="5E3C4BC1" w14:textId="77777777" w:rsidTr="00BF0F81">
        <w:trPr>
          <w:trHeight w:val="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13008F" w14:textId="738573B1" w:rsidR="00BF0F81" w:rsidRPr="00BF0F81" w:rsidRDefault="00BF0F81" w:rsidP="002068AC">
            <w:pPr>
              <w:jc w:val="both"/>
              <w:rPr>
                <w:rFonts w:ascii="Arial" w:eastAsia="Calibri" w:hAnsi="Arial" w:cs="Arial"/>
                <w:sz w:val="22"/>
                <w:szCs w:val="22"/>
              </w:rPr>
            </w:pPr>
            <w:r w:rsidRPr="00BF0F81">
              <w:rPr>
                <w:rFonts w:ascii="Arial" w:eastAsia="Calibri" w:hAnsi="Arial" w:cs="Arial"/>
                <w:sz w:val="22"/>
                <w:szCs w:val="22"/>
              </w:rPr>
              <w:t>A7.1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009422B" w14:textId="77777777" w:rsidR="00BF0F81" w:rsidRPr="00BF0F81" w:rsidRDefault="00BF0F81" w:rsidP="002068AC">
            <w:pPr>
              <w:jc w:val="both"/>
              <w:rPr>
                <w:rFonts w:ascii="Arial" w:eastAsia="Calibri" w:hAnsi="Arial" w:cs="Arial"/>
                <w:sz w:val="22"/>
                <w:szCs w:val="22"/>
              </w:rPr>
            </w:pPr>
            <w:r w:rsidRPr="00BF0F81">
              <w:rPr>
                <w:rFonts w:ascii="Arial" w:eastAsia="Calibri" w:hAnsi="Arial" w:cs="Arial"/>
                <w:sz w:val="22"/>
                <w:szCs w:val="22"/>
              </w:rPr>
              <w:t>Describe common search methods (line search, etc.) and explain/justify the selection of a particular search method given common scene/environmental conditions</w:t>
            </w:r>
          </w:p>
        </w:tc>
      </w:tr>
      <w:tr w:rsidR="00BF0F81" w:rsidRPr="00BF0F81" w14:paraId="20EB17F0" w14:textId="77777777" w:rsidTr="00BF0F81">
        <w:trPr>
          <w:trHeight w:val="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3306AD" w14:textId="77777777" w:rsidR="00BF0F81" w:rsidRPr="00BF0F81" w:rsidRDefault="00BF0F81" w:rsidP="002068AC">
            <w:pPr>
              <w:jc w:val="both"/>
              <w:rPr>
                <w:rFonts w:ascii="Arial" w:eastAsia="Calibri" w:hAnsi="Arial" w:cs="Arial"/>
                <w:sz w:val="22"/>
                <w:szCs w:val="22"/>
              </w:rPr>
            </w:pPr>
            <w:r w:rsidRPr="00BF0F81">
              <w:rPr>
                <w:rFonts w:ascii="Arial" w:eastAsia="Calibri" w:hAnsi="Arial" w:cs="Arial"/>
                <w:sz w:val="22"/>
                <w:szCs w:val="22"/>
              </w:rPr>
              <w:t>A7.2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93F357" w14:textId="77777777" w:rsidR="00BF0F81" w:rsidRPr="00BF0F81" w:rsidRDefault="00BF0F81" w:rsidP="002068AC">
            <w:pPr>
              <w:jc w:val="both"/>
              <w:rPr>
                <w:rFonts w:ascii="Arial" w:eastAsia="Calibri" w:hAnsi="Arial" w:cs="Arial"/>
                <w:sz w:val="22"/>
                <w:szCs w:val="22"/>
              </w:rPr>
            </w:pPr>
            <w:r w:rsidRPr="00BF0F81">
              <w:rPr>
                <w:rFonts w:ascii="Arial" w:eastAsia="Calibri" w:hAnsi="Arial" w:cs="Arial"/>
                <w:sz w:val="22"/>
                <w:szCs w:val="22"/>
              </w:rPr>
              <w:t>Describe the appropriate tools, equipment, software, and techniques to document remains at a scene</w:t>
            </w:r>
          </w:p>
        </w:tc>
      </w:tr>
      <w:tr w:rsidR="00BF0F81" w:rsidRPr="00BF0F81" w14:paraId="5942BDE4" w14:textId="77777777" w:rsidTr="00BF0F81">
        <w:trPr>
          <w:trHeight w:val="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022907" w14:textId="61B442A3" w:rsidR="00BF0F81" w:rsidRPr="00BF0F81" w:rsidRDefault="00BF0F81" w:rsidP="002068AC">
            <w:pPr>
              <w:jc w:val="both"/>
              <w:rPr>
                <w:rFonts w:ascii="Arial" w:eastAsia="Calibri" w:hAnsi="Arial" w:cs="Arial"/>
                <w:sz w:val="22"/>
                <w:szCs w:val="22"/>
              </w:rPr>
            </w:pPr>
            <w:r w:rsidRPr="00BF0F81">
              <w:rPr>
                <w:rFonts w:ascii="Arial" w:eastAsia="Calibri" w:hAnsi="Arial" w:cs="Arial"/>
                <w:sz w:val="22"/>
                <w:szCs w:val="22"/>
              </w:rPr>
              <w:t>A7.3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ECDF63" w14:textId="77777777" w:rsidR="00BF0F81" w:rsidRPr="00BF0F81" w:rsidRDefault="00BF0F81" w:rsidP="002068AC">
            <w:pPr>
              <w:jc w:val="both"/>
              <w:rPr>
                <w:rFonts w:ascii="Arial" w:eastAsia="Calibri" w:hAnsi="Arial" w:cs="Arial"/>
                <w:sz w:val="22"/>
                <w:szCs w:val="22"/>
              </w:rPr>
            </w:pPr>
            <w:r w:rsidRPr="00BF0F81">
              <w:rPr>
                <w:rFonts w:ascii="Arial" w:eastAsia="Calibri" w:hAnsi="Arial" w:cs="Arial"/>
                <w:sz w:val="22"/>
                <w:szCs w:val="22"/>
              </w:rPr>
              <w:t>Define common archaeological terms, principles and excavation techniques</w:t>
            </w:r>
          </w:p>
        </w:tc>
      </w:tr>
    </w:tbl>
    <w:p w14:paraId="5BA1E187" w14:textId="77777777" w:rsidR="005B42C9" w:rsidRPr="005B42C9" w:rsidRDefault="005B42C9" w:rsidP="002068AC">
      <w:pPr>
        <w:jc w:val="both"/>
        <w:rPr>
          <w:rFonts w:ascii="Arial" w:eastAsia="Calibri" w:hAnsi="Arial" w:cs="Arial"/>
          <w:sz w:val="22"/>
          <w:szCs w:val="22"/>
        </w:rPr>
      </w:pPr>
    </w:p>
    <w:p w14:paraId="01EDE70C" w14:textId="77777777" w:rsidR="005B42C9" w:rsidRPr="005B42C9" w:rsidRDefault="005B42C9" w:rsidP="002068AC">
      <w:pPr>
        <w:jc w:val="both"/>
        <w:rPr>
          <w:rFonts w:ascii="Arial" w:eastAsia="Calibri" w:hAnsi="Arial" w:cs="Arial"/>
          <w:sz w:val="22"/>
          <w:szCs w:val="22"/>
        </w:rPr>
      </w:pPr>
    </w:p>
    <w:p w14:paraId="1EC573E7" w14:textId="77777777" w:rsidR="005B42C9" w:rsidRPr="00057969" w:rsidRDefault="005B42C9" w:rsidP="002068AC">
      <w:pPr>
        <w:jc w:val="both"/>
        <w:rPr>
          <w:rFonts w:ascii="Arial" w:eastAsia="Calibri" w:hAnsi="Arial" w:cs="Arial"/>
          <w:b/>
          <w:bCs/>
          <w:sz w:val="22"/>
          <w:szCs w:val="22"/>
        </w:rPr>
      </w:pPr>
      <w:r w:rsidRPr="00057969">
        <w:rPr>
          <w:rFonts w:ascii="Arial" w:eastAsia="Calibri" w:hAnsi="Arial" w:cs="Arial"/>
          <w:b/>
          <w:bCs/>
          <w:sz w:val="22"/>
          <w:szCs w:val="22"/>
        </w:rPr>
        <w:t xml:space="preserve">References </w:t>
      </w:r>
    </w:p>
    <w:p w14:paraId="41A790AC" w14:textId="4F2EB32C"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 xml:space="preserve">ANSI/ASB Std. 135, 1st  Ed. (2023). Standard for Scene Detection and Processing in Forensic Anthropology. </w:t>
      </w:r>
      <w:hyperlink r:id="rId16" w:history="1">
        <w:r w:rsidRPr="00F5713E">
          <w:rPr>
            <w:rStyle w:val="Hyperlink"/>
            <w:rFonts w:ascii="Arial" w:eastAsia="Calibri" w:hAnsi="Arial" w:cs="Arial"/>
            <w:sz w:val="22"/>
            <w:szCs w:val="22"/>
          </w:rPr>
          <w:t>https://www.aafs.org/search/standards</w:t>
        </w:r>
      </w:hyperlink>
      <w:r w:rsidRPr="005B42C9">
        <w:rPr>
          <w:rFonts w:ascii="Arial" w:eastAsia="Calibri" w:hAnsi="Arial" w:cs="Arial"/>
          <w:sz w:val="22"/>
          <w:szCs w:val="22"/>
        </w:rPr>
        <w:t xml:space="preserve"> </w:t>
      </w:r>
    </w:p>
    <w:p w14:paraId="63B3697D" w14:textId="3CD03324"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 xml:space="preserve">ANSI/ASB BPR 008, 1st Ed. (2021). Mass Fatality Scene Processing: Best Practice Recommendations for the Medicolegal Authority. From the Mass Fatality Management and Disaster Victim Identification (MFM-DVI) Consensus Body. </w:t>
      </w:r>
      <w:hyperlink r:id="rId17" w:history="1">
        <w:r w:rsidRPr="00F5713E">
          <w:rPr>
            <w:rStyle w:val="Hyperlink"/>
            <w:rFonts w:ascii="Arial" w:eastAsia="Calibri" w:hAnsi="Arial" w:cs="Arial"/>
            <w:sz w:val="22"/>
            <w:szCs w:val="22"/>
          </w:rPr>
          <w:t>https://www.aafs.org/search/standards</w:t>
        </w:r>
      </w:hyperlink>
      <w:r w:rsidRPr="005B42C9">
        <w:rPr>
          <w:rFonts w:ascii="Arial" w:eastAsia="Calibri" w:hAnsi="Arial" w:cs="Arial"/>
          <w:sz w:val="22"/>
          <w:szCs w:val="22"/>
        </w:rPr>
        <w:t xml:space="preserve"> </w:t>
      </w:r>
    </w:p>
    <w:p w14:paraId="74E2D30C"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Dupras, T. L., J. J. Schultz, S. M. Wheeler, and L. J. Williams (2012) Forensic Recovery of Human Remains:  Archaeological Approaches (2nd ed.).  CRC Press, Boca Raton, FL. [A7.1, A7.2, A7.3]</w:t>
      </w:r>
    </w:p>
    <w:p w14:paraId="3CC7701E"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Hochrein, M.J. (2012). Ch. 5: Perspective: Collecting Evidence in the Context of Criminal Incident. In: A Companion to Forensic Anthropology (1st ed.) ed by D.C. Dirkmaat, pp. 101-112.  [A7.1, A7.2, A7.3]</w:t>
      </w:r>
    </w:p>
    <w:p w14:paraId="4A24F302"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Holland, T. D. and S. V. Connell (2016) The search for and detection of human remains.  In: Handbook of Forensic Anthropology and Archaeology (2nd ed.) ed by S. Blau and D. H. Ubelaker,  pp. 167-180.  Routledge, New York.  [A7.1, A7.2, A7.3]</w:t>
      </w:r>
    </w:p>
    <w:p w14:paraId="068B71D7"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Renfrew, C., and P. Bahn (2019) Archaeology: Theory, Methods and Practice (6th ed.).  Thames and Hudson, New York. [Note: Terminology and theoretical principles only - older editions are likely to contain similar information]. [A7.3]</w:t>
      </w:r>
    </w:p>
    <w:p w14:paraId="2E9AFDFA" w14:textId="77777777" w:rsidR="005B42C9" w:rsidRPr="005B42C9" w:rsidRDefault="005B42C9" w:rsidP="002068AC">
      <w:pPr>
        <w:jc w:val="both"/>
        <w:rPr>
          <w:rFonts w:ascii="Arial" w:eastAsia="Calibri" w:hAnsi="Arial" w:cs="Arial"/>
          <w:sz w:val="22"/>
          <w:szCs w:val="22"/>
        </w:rPr>
      </w:pPr>
    </w:p>
    <w:p w14:paraId="0B0E347E" w14:textId="77777777" w:rsidR="005B42C9" w:rsidRPr="005B42C9" w:rsidRDefault="005B42C9" w:rsidP="002068AC">
      <w:pPr>
        <w:jc w:val="both"/>
        <w:rPr>
          <w:rFonts w:ascii="Arial" w:eastAsia="Calibri" w:hAnsi="Arial" w:cs="Arial"/>
          <w:sz w:val="22"/>
          <w:szCs w:val="22"/>
        </w:rPr>
      </w:pPr>
    </w:p>
    <w:p w14:paraId="3B0082FE" w14:textId="77777777" w:rsidR="005B42C9" w:rsidRPr="005B42C9" w:rsidRDefault="005B42C9" w:rsidP="002068AC">
      <w:pPr>
        <w:jc w:val="both"/>
        <w:rPr>
          <w:rFonts w:ascii="Arial" w:eastAsia="Calibri" w:hAnsi="Arial" w:cs="Arial"/>
          <w:sz w:val="22"/>
          <w:szCs w:val="22"/>
        </w:rPr>
      </w:pPr>
    </w:p>
    <w:p w14:paraId="1DAE0D1D" w14:textId="77777777" w:rsidR="005B42C9" w:rsidRPr="005B42C9" w:rsidRDefault="005B42C9" w:rsidP="002068AC">
      <w:pPr>
        <w:jc w:val="both"/>
        <w:rPr>
          <w:rFonts w:ascii="Arial" w:eastAsia="Calibri" w:hAnsi="Arial" w:cs="Arial"/>
          <w:sz w:val="22"/>
          <w:szCs w:val="22"/>
        </w:rPr>
      </w:pPr>
    </w:p>
    <w:p w14:paraId="3939C5E9" w14:textId="77777777" w:rsidR="005B42C9" w:rsidRPr="005B42C9" w:rsidRDefault="005B42C9" w:rsidP="002068AC">
      <w:pPr>
        <w:jc w:val="both"/>
        <w:rPr>
          <w:rFonts w:ascii="Arial" w:eastAsia="Calibri" w:hAnsi="Arial" w:cs="Arial"/>
          <w:sz w:val="22"/>
          <w:szCs w:val="22"/>
        </w:rPr>
      </w:pPr>
    </w:p>
    <w:p w14:paraId="786A5435" w14:textId="77777777" w:rsidR="005B42C9" w:rsidRPr="005B42C9" w:rsidRDefault="005B42C9" w:rsidP="002068AC">
      <w:pPr>
        <w:jc w:val="both"/>
        <w:rPr>
          <w:rFonts w:ascii="Arial" w:eastAsia="Calibri" w:hAnsi="Arial" w:cs="Arial"/>
          <w:sz w:val="22"/>
          <w:szCs w:val="22"/>
        </w:rPr>
      </w:pPr>
    </w:p>
    <w:p w14:paraId="222D69EB" w14:textId="77777777" w:rsidR="005B42C9" w:rsidRPr="005B42C9" w:rsidRDefault="005B42C9" w:rsidP="002068AC">
      <w:pPr>
        <w:jc w:val="both"/>
        <w:rPr>
          <w:rFonts w:ascii="Arial" w:eastAsia="Calibri" w:hAnsi="Arial" w:cs="Arial"/>
          <w:sz w:val="22"/>
          <w:szCs w:val="22"/>
        </w:rPr>
      </w:pPr>
    </w:p>
    <w:p w14:paraId="43452F2B" w14:textId="77777777" w:rsidR="005B42C9" w:rsidRPr="005B42C9" w:rsidRDefault="005B42C9" w:rsidP="002068AC">
      <w:pPr>
        <w:jc w:val="both"/>
        <w:rPr>
          <w:rFonts w:ascii="Arial" w:eastAsia="Calibri" w:hAnsi="Arial" w:cs="Arial"/>
          <w:sz w:val="22"/>
          <w:szCs w:val="22"/>
        </w:rPr>
      </w:pPr>
    </w:p>
    <w:p w14:paraId="502F5372" w14:textId="77777777" w:rsidR="005B42C9" w:rsidRPr="005B42C9" w:rsidRDefault="005B42C9" w:rsidP="002068AC">
      <w:pPr>
        <w:jc w:val="both"/>
        <w:rPr>
          <w:rFonts w:ascii="Arial" w:eastAsia="Calibri" w:hAnsi="Arial" w:cs="Arial"/>
          <w:sz w:val="22"/>
          <w:szCs w:val="22"/>
        </w:rPr>
      </w:pPr>
    </w:p>
    <w:p w14:paraId="42A1198D" w14:textId="77777777" w:rsidR="005B42C9" w:rsidRPr="005B42C9" w:rsidRDefault="005B42C9" w:rsidP="002068AC">
      <w:pPr>
        <w:jc w:val="both"/>
        <w:rPr>
          <w:rFonts w:ascii="Arial" w:eastAsia="Calibri" w:hAnsi="Arial" w:cs="Arial"/>
          <w:sz w:val="22"/>
          <w:szCs w:val="22"/>
        </w:rPr>
      </w:pPr>
    </w:p>
    <w:p w14:paraId="395E0798" w14:textId="77777777" w:rsidR="005B42C9" w:rsidRPr="005B42C9" w:rsidRDefault="005B42C9" w:rsidP="002068AC">
      <w:pPr>
        <w:jc w:val="both"/>
        <w:rPr>
          <w:rFonts w:ascii="Arial" w:eastAsia="Calibri" w:hAnsi="Arial" w:cs="Arial"/>
          <w:sz w:val="22"/>
          <w:szCs w:val="22"/>
        </w:rPr>
      </w:pPr>
    </w:p>
    <w:p w14:paraId="67563619" w14:textId="77777777" w:rsidR="005B42C9" w:rsidRPr="005B42C9" w:rsidRDefault="005B42C9" w:rsidP="002068AC">
      <w:pPr>
        <w:jc w:val="both"/>
        <w:rPr>
          <w:rFonts w:ascii="Arial" w:eastAsia="Calibri" w:hAnsi="Arial" w:cs="Arial"/>
          <w:sz w:val="22"/>
          <w:szCs w:val="22"/>
        </w:rPr>
      </w:pPr>
    </w:p>
    <w:p w14:paraId="71663BCA" w14:textId="77777777" w:rsidR="005B42C9" w:rsidRPr="005B42C9" w:rsidRDefault="005B42C9" w:rsidP="002068AC">
      <w:pPr>
        <w:jc w:val="both"/>
        <w:rPr>
          <w:rFonts w:ascii="Arial" w:eastAsia="Calibri" w:hAnsi="Arial" w:cs="Arial"/>
          <w:sz w:val="22"/>
          <w:szCs w:val="22"/>
        </w:rPr>
      </w:pPr>
    </w:p>
    <w:p w14:paraId="7A10A4FF" w14:textId="77777777" w:rsidR="005B42C9" w:rsidRPr="005B42C9" w:rsidRDefault="005B42C9" w:rsidP="002068AC">
      <w:pPr>
        <w:jc w:val="both"/>
        <w:rPr>
          <w:rFonts w:ascii="Arial" w:eastAsia="Calibri" w:hAnsi="Arial" w:cs="Arial"/>
          <w:sz w:val="22"/>
          <w:szCs w:val="22"/>
        </w:rPr>
      </w:pPr>
    </w:p>
    <w:p w14:paraId="65801230" w14:textId="77777777" w:rsidR="005B42C9" w:rsidRDefault="005B42C9" w:rsidP="002068AC">
      <w:pPr>
        <w:jc w:val="both"/>
        <w:rPr>
          <w:rFonts w:ascii="Arial" w:eastAsia="Calibri" w:hAnsi="Arial" w:cs="Arial"/>
          <w:sz w:val="22"/>
          <w:szCs w:val="22"/>
        </w:rPr>
      </w:pPr>
    </w:p>
    <w:p w14:paraId="546C3D5C" w14:textId="77777777" w:rsidR="00DD4310" w:rsidRPr="005B42C9" w:rsidRDefault="00DD4310" w:rsidP="002068AC">
      <w:pPr>
        <w:jc w:val="both"/>
        <w:rPr>
          <w:rFonts w:ascii="Arial" w:eastAsia="Calibri" w:hAnsi="Arial" w:cs="Arial"/>
          <w:sz w:val="22"/>
          <w:szCs w:val="22"/>
        </w:rPr>
      </w:pPr>
    </w:p>
    <w:p w14:paraId="7D46B45E" w14:textId="77777777" w:rsidR="005B42C9" w:rsidRDefault="005B42C9" w:rsidP="002068AC">
      <w:pPr>
        <w:jc w:val="both"/>
        <w:rPr>
          <w:rFonts w:ascii="Arial" w:eastAsia="Calibri" w:hAnsi="Arial" w:cs="Arial"/>
          <w:b/>
          <w:bCs/>
        </w:rPr>
      </w:pPr>
      <w:r w:rsidRPr="00DD4500">
        <w:rPr>
          <w:rFonts w:ascii="Arial" w:eastAsia="Calibri" w:hAnsi="Arial" w:cs="Arial"/>
          <w:b/>
          <w:bCs/>
        </w:rPr>
        <w:lastRenderedPageBreak/>
        <w:t xml:space="preserve">8. Processing </w:t>
      </w:r>
    </w:p>
    <w:p w14:paraId="3D2872B2" w14:textId="77777777" w:rsidR="00C90799" w:rsidRPr="00DD4500" w:rsidRDefault="00C90799" w:rsidP="002068AC">
      <w:pPr>
        <w:jc w:val="both"/>
        <w:rPr>
          <w:rFonts w:ascii="Arial" w:eastAsia="Calibri" w:hAnsi="Arial" w:cs="Arial"/>
          <w:b/>
          <w:bCs/>
        </w:rPr>
      </w:pPr>
    </w:p>
    <w:tbl>
      <w:tblPr>
        <w:tblW w:w="0" w:type="auto"/>
        <w:tblCellMar>
          <w:top w:w="15" w:type="dxa"/>
          <w:left w:w="15" w:type="dxa"/>
          <w:bottom w:w="15" w:type="dxa"/>
          <w:right w:w="15" w:type="dxa"/>
        </w:tblCellMar>
        <w:tblLook w:val="04A0" w:firstRow="1" w:lastRow="0" w:firstColumn="1" w:lastColumn="0" w:noHBand="0" w:noVBand="1"/>
      </w:tblPr>
      <w:tblGrid>
        <w:gridCol w:w="653"/>
        <w:gridCol w:w="7048"/>
      </w:tblGrid>
      <w:tr w:rsidR="00DD4500" w:rsidRPr="00DD4500" w14:paraId="2FDB2F80" w14:textId="77777777" w:rsidTr="00DD4500">
        <w:trPr>
          <w:trHeight w:val="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95D183" w14:textId="0EC3CAEF" w:rsidR="00DD4500" w:rsidRPr="00DD4500" w:rsidRDefault="00DD4500" w:rsidP="002068AC">
            <w:pPr>
              <w:jc w:val="both"/>
              <w:rPr>
                <w:rFonts w:ascii="Arial" w:eastAsia="Calibri" w:hAnsi="Arial" w:cs="Arial"/>
                <w:sz w:val="22"/>
                <w:szCs w:val="22"/>
              </w:rPr>
            </w:pPr>
            <w:r w:rsidRPr="00DD4500">
              <w:rPr>
                <w:rFonts w:ascii="Arial" w:eastAsia="Calibri" w:hAnsi="Arial" w:cs="Arial"/>
                <w:sz w:val="22"/>
                <w:szCs w:val="22"/>
              </w:rPr>
              <w:t>A8.1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935973" w14:textId="77777777" w:rsidR="00DD4500" w:rsidRPr="00DD4500" w:rsidRDefault="00DD4500" w:rsidP="002068AC">
            <w:pPr>
              <w:jc w:val="both"/>
              <w:rPr>
                <w:rFonts w:ascii="Arial" w:eastAsia="Calibri" w:hAnsi="Arial" w:cs="Arial"/>
                <w:sz w:val="22"/>
                <w:szCs w:val="22"/>
              </w:rPr>
            </w:pPr>
            <w:r w:rsidRPr="00DD4500">
              <w:rPr>
                <w:rFonts w:ascii="Arial" w:eastAsia="Calibri" w:hAnsi="Arial" w:cs="Arial"/>
                <w:sz w:val="22"/>
                <w:szCs w:val="22"/>
              </w:rPr>
              <w:t>Describe appropriate methods to process remains for skeletal analysis</w:t>
            </w:r>
          </w:p>
        </w:tc>
      </w:tr>
    </w:tbl>
    <w:p w14:paraId="6C55E6C9" w14:textId="77777777" w:rsidR="005B42C9" w:rsidRPr="005B42C9" w:rsidRDefault="005B42C9" w:rsidP="002068AC">
      <w:pPr>
        <w:jc w:val="both"/>
        <w:rPr>
          <w:rFonts w:ascii="Arial" w:eastAsia="Calibri" w:hAnsi="Arial" w:cs="Arial"/>
          <w:sz w:val="22"/>
          <w:szCs w:val="22"/>
        </w:rPr>
      </w:pPr>
    </w:p>
    <w:p w14:paraId="236B8202" w14:textId="77777777" w:rsidR="005B42C9" w:rsidRPr="005B42C9" w:rsidRDefault="005B42C9" w:rsidP="002068AC">
      <w:pPr>
        <w:jc w:val="both"/>
        <w:rPr>
          <w:rFonts w:ascii="Arial" w:eastAsia="Calibri" w:hAnsi="Arial" w:cs="Arial"/>
          <w:sz w:val="22"/>
          <w:szCs w:val="22"/>
        </w:rPr>
      </w:pPr>
    </w:p>
    <w:p w14:paraId="6E674AAF" w14:textId="77777777" w:rsidR="005B42C9" w:rsidRPr="00DD4500" w:rsidRDefault="005B42C9" w:rsidP="002068AC">
      <w:pPr>
        <w:jc w:val="both"/>
        <w:rPr>
          <w:rFonts w:ascii="Arial" w:eastAsia="Calibri" w:hAnsi="Arial" w:cs="Arial"/>
          <w:b/>
          <w:bCs/>
          <w:sz w:val="22"/>
          <w:szCs w:val="22"/>
        </w:rPr>
      </w:pPr>
      <w:r w:rsidRPr="00DD4500">
        <w:rPr>
          <w:rFonts w:ascii="Arial" w:eastAsia="Calibri" w:hAnsi="Arial" w:cs="Arial"/>
          <w:b/>
          <w:bCs/>
          <w:sz w:val="22"/>
          <w:szCs w:val="22"/>
        </w:rPr>
        <w:t xml:space="preserve">References </w:t>
      </w:r>
    </w:p>
    <w:p w14:paraId="7028A3CC" w14:textId="07DD670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 xml:space="preserve">ANSI/ASB Std. 135, 1st  Ed. (2023). Standard for Scene Detection and Processing in Forensic Anthropology. </w:t>
      </w:r>
      <w:hyperlink r:id="rId18" w:history="1">
        <w:r w:rsidRPr="00F5713E">
          <w:rPr>
            <w:rStyle w:val="Hyperlink"/>
            <w:rFonts w:ascii="Arial" w:eastAsia="Calibri" w:hAnsi="Arial" w:cs="Arial"/>
            <w:sz w:val="22"/>
            <w:szCs w:val="22"/>
          </w:rPr>
          <w:t>https://www.aafs.org/search/standards</w:t>
        </w:r>
      </w:hyperlink>
      <w:r w:rsidRPr="005B42C9">
        <w:rPr>
          <w:rFonts w:ascii="Arial" w:eastAsia="Calibri" w:hAnsi="Arial" w:cs="Arial"/>
          <w:sz w:val="22"/>
          <w:szCs w:val="22"/>
        </w:rPr>
        <w:t xml:space="preserve"> </w:t>
      </w:r>
    </w:p>
    <w:p w14:paraId="6220AAF7" w14:textId="6C1BC812"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OSAC 2021</w:t>
      </w:r>
      <w:r w:rsidRPr="005B42C9">
        <w:rPr>
          <w:rFonts w:ascii="Cambria Math" w:eastAsia="Calibri" w:hAnsi="Cambria Math" w:cs="Cambria Math"/>
          <w:sz w:val="22"/>
          <w:szCs w:val="22"/>
        </w:rPr>
        <w:t>‐</w:t>
      </w:r>
      <w:r w:rsidRPr="005B42C9">
        <w:rPr>
          <w:rFonts w:ascii="Arial" w:eastAsia="Calibri" w:hAnsi="Arial" w:cs="Arial"/>
          <w:sz w:val="22"/>
          <w:szCs w:val="22"/>
        </w:rPr>
        <w:t>N</w:t>
      </w:r>
      <w:r w:rsidRPr="005B42C9">
        <w:rPr>
          <w:rFonts w:ascii="Cambria Math" w:eastAsia="Calibri" w:hAnsi="Cambria Math" w:cs="Cambria Math"/>
          <w:sz w:val="22"/>
          <w:szCs w:val="22"/>
        </w:rPr>
        <w:t>‐</w:t>
      </w:r>
      <w:r w:rsidRPr="005B42C9">
        <w:rPr>
          <w:rFonts w:ascii="Arial" w:eastAsia="Calibri" w:hAnsi="Arial" w:cs="Arial"/>
          <w:sz w:val="22"/>
          <w:szCs w:val="22"/>
        </w:rPr>
        <w:t>0010. Standard for Skeletal Preparation and Sampling in Forensic Anthropology. (2023) Version: 2.1  (https://www.nist.gov/system/files/documents/2023/12/21/OSAC%202021-N0010%20Standard%20for%20Skeletal%20Preparation%20and%20Sampling%20in%20Forensic%20Anthropology%20Version%202.1.pdf) [A8.1]</w:t>
      </w:r>
    </w:p>
    <w:p w14:paraId="1A4BA844" w14:textId="77777777" w:rsidR="005B42C9" w:rsidRPr="005B42C9" w:rsidRDefault="005B42C9" w:rsidP="002068AC">
      <w:pPr>
        <w:spacing w:after="240"/>
        <w:jc w:val="both"/>
        <w:rPr>
          <w:rFonts w:ascii="Arial" w:eastAsia="Calibri" w:hAnsi="Arial" w:cs="Arial"/>
          <w:sz w:val="22"/>
          <w:szCs w:val="22"/>
        </w:rPr>
      </w:pPr>
      <w:proofErr w:type="spellStart"/>
      <w:r w:rsidRPr="005B42C9">
        <w:rPr>
          <w:rFonts w:ascii="Arial" w:eastAsia="Calibri" w:hAnsi="Arial" w:cs="Arial"/>
          <w:sz w:val="22"/>
          <w:szCs w:val="22"/>
        </w:rPr>
        <w:t>Armelli</w:t>
      </w:r>
      <w:proofErr w:type="spellEnd"/>
      <w:r w:rsidRPr="005B42C9">
        <w:rPr>
          <w:rFonts w:ascii="Arial" w:eastAsia="Calibri" w:hAnsi="Arial" w:cs="Arial"/>
          <w:sz w:val="22"/>
          <w:szCs w:val="22"/>
        </w:rPr>
        <w:t xml:space="preserve"> K., Christensen E., Isaac C., and Cornelison J. (2022). Steam Kettle Skeletal Preparation: An Efficient Method for Processing Human Remains. Forensic Anthropology 5:73-77. [A8.1]</w:t>
      </w:r>
    </w:p>
    <w:p w14:paraId="6382E6B5"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Couse T, Connor M. (2015). A comparison of maceration techniques for use in forensic skeletal preparations. Journal of Forensic Investigation 3:1-6. [A8.1]</w:t>
      </w:r>
    </w:p>
    <w:p w14:paraId="2FD99BD3"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Dunn, R., Spiros, M., Passalacqua, N., &amp; Hefner, J. (2023). Maceration Techniques for Human Fetal and Perinatal Bone. Forensic Anthropology, 6(3), 166-173. [A8.1]</w:t>
      </w:r>
    </w:p>
    <w:p w14:paraId="4A3BC0F9"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Fenton, T. W., W. H. Birkby, and J. Cornelison (2003) A fast and safe non-bleaching method for forensic skeletal preparation.  Journal of Forensic Sciences 48:274-276. [A8.1]</w:t>
      </w:r>
    </w:p>
    <w:p w14:paraId="7166E9B2"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Lee, E. J., J. G. Luedtke, J. L. Allison, C. E. Arber, D. A. Merriwether, and D. W. Steadman (2010) The effects of different maceration techniques on nuclear DNA amplification using human bone.  Journal of Forensic Sciences 55:1032-1038. [A8.1; A10.9]</w:t>
      </w:r>
    </w:p>
    <w:p w14:paraId="14203852"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Sanger Ciarleglio, J. E., Perez, K. M., Motola, H. L., &amp; DiGangi, E. A. (2020). Recommendations for maintaining a Dermestid beetle colony (</w:t>
      </w:r>
      <w:proofErr w:type="spellStart"/>
      <w:r w:rsidRPr="005B42C9">
        <w:rPr>
          <w:rFonts w:ascii="Arial" w:eastAsia="Calibri" w:hAnsi="Arial" w:cs="Arial"/>
          <w:sz w:val="22"/>
          <w:szCs w:val="22"/>
        </w:rPr>
        <w:t>Dermestes</w:t>
      </w:r>
      <w:proofErr w:type="spellEnd"/>
      <w:r w:rsidRPr="005B42C9">
        <w:rPr>
          <w:rFonts w:ascii="Arial" w:eastAsia="Calibri" w:hAnsi="Arial" w:cs="Arial"/>
          <w:sz w:val="22"/>
          <w:szCs w:val="22"/>
        </w:rPr>
        <w:t xml:space="preserve"> maculatus) for processing human remains. Journal of Forensic Sciences, 65(5), 1698-1703. [A8.1]</w:t>
      </w:r>
    </w:p>
    <w:p w14:paraId="331D4F92"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Simonsen, K. P., A. R. Rasmussen, P. Mathisen, H. Petersen, and F. Borup (2011) A fast preparation of skeletal materials using enzyme maceration.  Journal of Forensic Sciences 56:480-484. [A8.1]</w:t>
      </w:r>
    </w:p>
    <w:p w14:paraId="06826D35" w14:textId="77777777" w:rsidR="005B42C9" w:rsidRPr="005B42C9" w:rsidRDefault="005B42C9" w:rsidP="002068AC">
      <w:pPr>
        <w:spacing w:after="240"/>
        <w:jc w:val="both"/>
        <w:rPr>
          <w:rFonts w:ascii="Arial" w:eastAsia="Calibri" w:hAnsi="Arial" w:cs="Arial"/>
          <w:sz w:val="22"/>
          <w:szCs w:val="22"/>
        </w:rPr>
      </w:pPr>
    </w:p>
    <w:p w14:paraId="54A44393" w14:textId="77777777" w:rsidR="005B42C9" w:rsidRPr="005B42C9" w:rsidRDefault="005B42C9" w:rsidP="002068AC">
      <w:pPr>
        <w:jc w:val="both"/>
        <w:rPr>
          <w:rFonts w:ascii="Arial" w:eastAsia="Calibri" w:hAnsi="Arial" w:cs="Arial"/>
          <w:sz w:val="22"/>
          <w:szCs w:val="22"/>
        </w:rPr>
      </w:pPr>
    </w:p>
    <w:p w14:paraId="3CC13685" w14:textId="77777777" w:rsidR="005B42C9" w:rsidRPr="005B42C9" w:rsidRDefault="005B42C9" w:rsidP="002068AC">
      <w:pPr>
        <w:jc w:val="both"/>
        <w:rPr>
          <w:rFonts w:ascii="Arial" w:eastAsia="Calibri" w:hAnsi="Arial" w:cs="Arial"/>
          <w:sz w:val="22"/>
          <w:szCs w:val="22"/>
        </w:rPr>
      </w:pPr>
    </w:p>
    <w:p w14:paraId="5B55572B" w14:textId="77777777" w:rsidR="005B42C9" w:rsidRPr="005B42C9" w:rsidRDefault="005B42C9" w:rsidP="002068AC">
      <w:pPr>
        <w:jc w:val="both"/>
        <w:rPr>
          <w:rFonts w:ascii="Arial" w:eastAsia="Calibri" w:hAnsi="Arial" w:cs="Arial"/>
          <w:sz w:val="22"/>
          <w:szCs w:val="22"/>
        </w:rPr>
      </w:pPr>
    </w:p>
    <w:p w14:paraId="73FDF811" w14:textId="77777777" w:rsidR="005B42C9" w:rsidRPr="005B42C9" w:rsidRDefault="005B42C9" w:rsidP="002068AC">
      <w:pPr>
        <w:jc w:val="both"/>
        <w:rPr>
          <w:rFonts w:ascii="Arial" w:eastAsia="Calibri" w:hAnsi="Arial" w:cs="Arial"/>
          <w:sz w:val="22"/>
          <w:szCs w:val="22"/>
        </w:rPr>
      </w:pPr>
    </w:p>
    <w:p w14:paraId="71229025" w14:textId="77777777" w:rsidR="005B42C9" w:rsidRPr="005B42C9" w:rsidRDefault="005B42C9" w:rsidP="002068AC">
      <w:pPr>
        <w:jc w:val="both"/>
        <w:rPr>
          <w:rFonts w:ascii="Arial" w:eastAsia="Calibri" w:hAnsi="Arial" w:cs="Arial"/>
          <w:sz w:val="22"/>
          <w:szCs w:val="22"/>
        </w:rPr>
      </w:pPr>
    </w:p>
    <w:p w14:paraId="5600D1E7" w14:textId="77777777" w:rsidR="005B42C9" w:rsidRPr="005B42C9" w:rsidRDefault="005B42C9" w:rsidP="002068AC">
      <w:pPr>
        <w:jc w:val="both"/>
        <w:rPr>
          <w:rFonts w:ascii="Arial" w:eastAsia="Calibri" w:hAnsi="Arial" w:cs="Arial"/>
          <w:sz w:val="22"/>
          <w:szCs w:val="22"/>
        </w:rPr>
      </w:pPr>
    </w:p>
    <w:p w14:paraId="78816B7F" w14:textId="77777777" w:rsidR="005B42C9" w:rsidRDefault="005B42C9" w:rsidP="002068AC">
      <w:pPr>
        <w:jc w:val="both"/>
        <w:rPr>
          <w:rFonts w:ascii="Arial" w:eastAsia="Calibri" w:hAnsi="Arial" w:cs="Arial"/>
          <w:sz w:val="22"/>
          <w:szCs w:val="22"/>
        </w:rPr>
      </w:pPr>
    </w:p>
    <w:p w14:paraId="7E176B36" w14:textId="77777777" w:rsidR="00DD4500" w:rsidRDefault="00DD4500" w:rsidP="002068AC">
      <w:pPr>
        <w:jc w:val="both"/>
        <w:rPr>
          <w:rFonts w:ascii="Arial" w:eastAsia="Calibri" w:hAnsi="Arial" w:cs="Arial"/>
          <w:sz w:val="22"/>
          <w:szCs w:val="22"/>
        </w:rPr>
      </w:pPr>
    </w:p>
    <w:p w14:paraId="322BCD6A" w14:textId="77777777" w:rsidR="00DD4500" w:rsidRDefault="00DD4500" w:rsidP="002068AC">
      <w:pPr>
        <w:jc w:val="both"/>
        <w:rPr>
          <w:rFonts w:ascii="Arial" w:eastAsia="Calibri" w:hAnsi="Arial" w:cs="Arial"/>
          <w:sz w:val="22"/>
          <w:szCs w:val="22"/>
        </w:rPr>
      </w:pPr>
    </w:p>
    <w:p w14:paraId="64C8192B" w14:textId="77777777" w:rsidR="00DD4500" w:rsidRDefault="00DD4500" w:rsidP="002068AC">
      <w:pPr>
        <w:jc w:val="both"/>
        <w:rPr>
          <w:rFonts w:ascii="Arial" w:eastAsia="Calibri" w:hAnsi="Arial" w:cs="Arial"/>
          <w:sz w:val="22"/>
          <w:szCs w:val="22"/>
        </w:rPr>
      </w:pPr>
    </w:p>
    <w:p w14:paraId="0F8BA082" w14:textId="77777777" w:rsidR="00406E24" w:rsidRPr="005B42C9" w:rsidRDefault="00406E24" w:rsidP="002068AC">
      <w:pPr>
        <w:jc w:val="both"/>
        <w:rPr>
          <w:rFonts w:ascii="Arial" w:eastAsia="Calibri" w:hAnsi="Arial" w:cs="Arial"/>
          <w:sz w:val="22"/>
          <w:szCs w:val="22"/>
        </w:rPr>
      </w:pPr>
    </w:p>
    <w:p w14:paraId="364F1D5B" w14:textId="77777777" w:rsidR="005B42C9" w:rsidRDefault="005B42C9" w:rsidP="002068AC">
      <w:pPr>
        <w:jc w:val="both"/>
        <w:rPr>
          <w:rFonts w:ascii="Arial" w:eastAsia="Calibri" w:hAnsi="Arial" w:cs="Arial"/>
          <w:b/>
          <w:bCs/>
        </w:rPr>
      </w:pPr>
      <w:r w:rsidRPr="00DD4500">
        <w:rPr>
          <w:rFonts w:ascii="Arial" w:eastAsia="Calibri" w:hAnsi="Arial" w:cs="Arial"/>
          <w:b/>
          <w:bCs/>
        </w:rPr>
        <w:lastRenderedPageBreak/>
        <w:t>9. MNI and Commingled Assemblages</w:t>
      </w:r>
    </w:p>
    <w:p w14:paraId="43B3D299" w14:textId="77777777" w:rsidR="00C90799" w:rsidRPr="00DD4500" w:rsidRDefault="00C90799" w:rsidP="002068AC">
      <w:pPr>
        <w:jc w:val="both"/>
        <w:rPr>
          <w:rFonts w:ascii="Arial" w:eastAsia="Calibri" w:hAnsi="Arial" w:cs="Arial"/>
          <w:b/>
          <w:bCs/>
        </w:rPr>
      </w:pPr>
    </w:p>
    <w:tbl>
      <w:tblPr>
        <w:tblW w:w="0" w:type="auto"/>
        <w:tblCellMar>
          <w:top w:w="15" w:type="dxa"/>
          <w:left w:w="15" w:type="dxa"/>
          <w:bottom w:w="15" w:type="dxa"/>
          <w:right w:w="15" w:type="dxa"/>
        </w:tblCellMar>
        <w:tblLook w:val="04A0" w:firstRow="1" w:lastRow="0" w:firstColumn="1" w:lastColumn="0" w:noHBand="0" w:noVBand="1"/>
      </w:tblPr>
      <w:tblGrid>
        <w:gridCol w:w="653"/>
        <w:gridCol w:w="8577"/>
      </w:tblGrid>
      <w:tr w:rsidR="003E546A" w:rsidRPr="003E546A" w14:paraId="3719843E" w14:textId="77777777" w:rsidTr="003E546A">
        <w:trPr>
          <w:trHeight w:val="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E9CD59" w14:textId="5295AAEA" w:rsidR="003E546A" w:rsidRPr="003E546A" w:rsidRDefault="003E546A" w:rsidP="002068AC">
            <w:pPr>
              <w:jc w:val="both"/>
              <w:rPr>
                <w:rFonts w:ascii="Arial" w:eastAsia="Calibri" w:hAnsi="Arial" w:cs="Arial"/>
                <w:sz w:val="22"/>
                <w:szCs w:val="22"/>
              </w:rPr>
            </w:pPr>
            <w:r w:rsidRPr="003E546A">
              <w:rPr>
                <w:rFonts w:ascii="Arial" w:eastAsia="Calibri" w:hAnsi="Arial" w:cs="Arial"/>
                <w:sz w:val="22"/>
                <w:szCs w:val="22"/>
              </w:rPr>
              <w:t>A9.1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377D454" w14:textId="77777777" w:rsidR="003E546A" w:rsidRPr="003E546A" w:rsidRDefault="003E546A" w:rsidP="002068AC">
            <w:pPr>
              <w:jc w:val="both"/>
              <w:rPr>
                <w:rFonts w:ascii="Arial" w:eastAsia="Calibri" w:hAnsi="Arial" w:cs="Arial"/>
                <w:sz w:val="22"/>
                <w:szCs w:val="22"/>
              </w:rPr>
            </w:pPr>
            <w:r w:rsidRPr="003E546A">
              <w:rPr>
                <w:rFonts w:ascii="Arial" w:eastAsia="Calibri" w:hAnsi="Arial" w:cs="Arial"/>
                <w:sz w:val="22"/>
                <w:szCs w:val="22"/>
              </w:rPr>
              <w:t>Sort commingled remains</w:t>
            </w:r>
          </w:p>
        </w:tc>
      </w:tr>
      <w:tr w:rsidR="003E546A" w:rsidRPr="003E546A" w14:paraId="32C7045D" w14:textId="77777777" w:rsidTr="003E546A">
        <w:trPr>
          <w:trHeight w:val="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F2FD50" w14:textId="52CAB038" w:rsidR="003E546A" w:rsidRPr="003E546A" w:rsidRDefault="003E546A" w:rsidP="002068AC">
            <w:pPr>
              <w:jc w:val="both"/>
              <w:rPr>
                <w:rFonts w:ascii="Arial" w:eastAsia="Calibri" w:hAnsi="Arial" w:cs="Arial"/>
                <w:sz w:val="22"/>
                <w:szCs w:val="22"/>
              </w:rPr>
            </w:pPr>
            <w:r w:rsidRPr="003E546A">
              <w:rPr>
                <w:rFonts w:ascii="Arial" w:eastAsia="Calibri" w:hAnsi="Arial" w:cs="Arial"/>
                <w:sz w:val="22"/>
                <w:szCs w:val="22"/>
              </w:rPr>
              <w:t>A9.2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CECC825" w14:textId="77777777" w:rsidR="003E546A" w:rsidRPr="003E546A" w:rsidRDefault="003E546A" w:rsidP="002068AC">
            <w:pPr>
              <w:jc w:val="both"/>
              <w:rPr>
                <w:rFonts w:ascii="Arial" w:eastAsia="Calibri" w:hAnsi="Arial" w:cs="Arial"/>
                <w:sz w:val="22"/>
                <w:szCs w:val="22"/>
              </w:rPr>
            </w:pPr>
            <w:r w:rsidRPr="003E546A">
              <w:rPr>
                <w:rFonts w:ascii="Arial" w:eastAsia="Calibri" w:hAnsi="Arial" w:cs="Arial"/>
                <w:sz w:val="22"/>
                <w:szCs w:val="22"/>
              </w:rPr>
              <w:t>Determine the minimum number of individuals following best practices in the discipline</w:t>
            </w:r>
          </w:p>
        </w:tc>
      </w:tr>
    </w:tbl>
    <w:p w14:paraId="368398B1" w14:textId="77777777" w:rsidR="005B42C9" w:rsidRPr="005B42C9" w:rsidRDefault="005B42C9" w:rsidP="002068AC">
      <w:pPr>
        <w:jc w:val="both"/>
        <w:rPr>
          <w:rFonts w:ascii="Arial" w:eastAsia="Calibri" w:hAnsi="Arial" w:cs="Arial"/>
          <w:sz w:val="22"/>
          <w:szCs w:val="22"/>
        </w:rPr>
      </w:pPr>
    </w:p>
    <w:p w14:paraId="02713CF8" w14:textId="77777777" w:rsidR="003E546A" w:rsidRPr="005B42C9" w:rsidRDefault="003E546A" w:rsidP="002068AC">
      <w:pPr>
        <w:jc w:val="both"/>
        <w:rPr>
          <w:rFonts w:ascii="Arial" w:eastAsia="Calibri" w:hAnsi="Arial" w:cs="Arial"/>
          <w:sz w:val="22"/>
          <w:szCs w:val="22"/>
        </w:rPr>
      </w:pPr>
    </w:p>
    <w:p w14:paraId="4D3C9676" w14:textId="77777777" w:rsidR="003E546A" w:rsidRPr="00DD4500" w:rsidRDefault="003E546A" w:rsidP="002068AC">
      <w:pPr>
        <w:jc w:val="both"/>
        <w:rPr>
          <w:rFonts w:ascii="Arial" w:eastAsia="Calibri" w:hAnsi="Arial" w:cs="Arial"/>
          <w:b/>
          <w:bCs/>
          <w:sz w:val="22"/>
          <w:szCs w:val="22"/>
        </w:rPr>
      </w:pPr>
      <w:r w:rsidRPr="00DD4500">
        <w:rPr>
          <w:rFonts w:ascii="Arial" w:eastAsia="Calibri" w:hAnsi="Arial" w:cs="Arial"/>
          <w:b/>
          <w:bCs/>
          <w:sz w:val="22"/>
          <w:szCs w:val="22"/>
        </w:rPr>
        <w:t xml:space="preserve">References </w:t>
      </w:r>
    </w:p>
    <w:p w14:paraId="48690D18" w14:textId="77777777" w:rsidR="005B42C9" w:rsidRPr="005B42C9" w:rsidRDefault="005B42C9" w:rsidP="002068AC">
      <w:pPr>
        <w:jc w:val="both"/>
        <w:rPr>
          <w:rFonts w:ascii="Arial" w:eastAsia="Calibri" w:hAnsi="Arial" w:cs="Arial"/>
          <w:sz w:val="22"/>
          <w:szCs w:val="22"/>
        </w:rPr>
      </w:pPr>
    </w:p>
    <w:p w14:paraId="01281A67" w14:textId="59AD8737" w:rsidR="005B42C9" w:rsidRPr="005B42C9" w:rsidRDefault="005B42C9" w:rsidP="002068AC">
      <w:pPr>
        <w:jc w:val="both"/>
        <w:rPr>
          <w:rFonts w:ascii="Arial" w:eastAsia="Calibri" w:hAnsi="Arial" w:cs="Arial"/>
          <w:sz w:val="22"/>
          <w:szCs w:val="22"/>
        </w:rPr>
      </w:pPr>
      <w:r w:rsidRPr="005B42C9">
        <w:rPr>
          <w:rFonts w:ascii="Arial" w:eastAsia="Calibri" w:hAnsi="Arial" w:cs="Arial"/>
          <w:sz w:val="22"/>
          <w:szCs w:val="22"/>
        </w:rPr>
        <w:t xml:space="preserve">ANSI/ASB Std. 146, 1st  Ed. (2021). Standard for Resolving Commingled Remains in Forensic Anthropology. </w:t>
      </w:r>
      <w:hyperlink r:id="rId19" w:history="1">
        <w:r w:rsidRPr="00F5713E">
          <w:rPr>
            <w:rStyle w:val="Hyperlink"/>
            <w:rFonts w:ascii="Arial" w:eastAsia="Calibri" w:hAnsi="Arial" w:cs="Arial"/>
            <w:sz w:val="22"/>
            <w:szCs w:val="22"/>
          </w:rPr>
          <w:t>https://www.aafs.org/search/standards</w:t>
        </w:r>
      </w:hyperlink>
    </w:p>
    <w:p w14:paraId="7A899C3C" w14:textId="77777777" w:rsidR="005B42C9" w:rsidRPr="005B42C9" w:rsidRDefault="005B42C9" w:rsidP="002068AC">
      <w:pPr>
        <w:jc w:val="both"/>
        <w:rPr>
          <w:rFonts w:ascii="Arial" w:eastAsia="Calibri" w:hAnsi="Arial" w:cs="Arial"/>
          <w:sz w:val="22"/>
          <w:szCs w:val="22"/>
        </w:rPr>
      </w:pPr>
    </w:p>
    <w:p w14:paraId="0C3B9A32" w14:textId="77777777" w:rsidR="005B42C9" w:rsidRPr="005B42C9" w:rsidRDefault="005B42C9" w:rsidP="002068AC">
      <w:pPr>
        <w:jc w:val="both"/>
        <w:rPr>
          <w:rFonts w:ascii="Arial" w:eastAsia="Calibri" w:hAnsi="Arial" w:cs="Arial"/>
          <w:sz w:val="22"/>
          <w:szCs w:val="22"/>
        </w:rPr>
      </w:pPr>
      <w:r w:rsidRPr="005B42C9">
        <w:rPr>
          <w:rFonts w:ascii="Arial" w:eastAsia="Calibri" w:hAnsi="Arial" w:cs="Arial"/>
          <w:sz w:val="22"/>
          <w:szCs w:val="22"/>
        </w:rPr>
        <w:t>Byrd, J. E., &amp; Adams, B. J. (2016). Analysis of commingled human remains. In Handbook of forensic anthropology and archaeology (pp. 226-242). Routledge. [A9.1, A9.2]</w:t>
      </w:r>
    </w:p>
    <w:p w14:paraId="65971A7F" w14:textId="77777777" w:rsidR="005B42C9" w:rsidRPr="005B42C9" w:rsidRDefault="005B42C9" w:rsidP="002068AC">
      <w:pPr>
        <w:jc w:val="both"/>
        <w:rPr>
          <w:rFonts w:ascii="Arial" w:eastAsia="Calibri" w:hAnsi="Arial" w:cs="Arial"/>
          <w:sz w:val="22"/>
          <w:szCs w:val="22"/>
        </w:rPr>
      </w:pPr>
    </w:p>
    <w:p w14:paraId="70E06C06" w14:textId="77777777" w:rsidR="005B42C9" w:rsidRPr="005B42C9" w:rsidRDefault="005B42C9" w:rsidP="002068AC">
      <w:pPr>
        <w:jc w:val="both"/>
        <w:rPr>
          <w:rFonts w:ascii="Arial" w:eastAsia="Calibri" w:hAnsi="Arial" w:cs="Arial"/>
          <w:sz w:val="22"/>
          <w:szCs w:val="22"/>
        </w:rPr>
      </w:pPr>
      <w:r w:rsidRPr="005B42C9">
        <w:rPr>
          <w:rFonts w:ascii="Arial" w:eastAsia="Calibri" w:hAnsi="Arial" w:cs="Arial"/>
          <w:sz w:val="22"/>
          <w:szCs w:val="22"/>
        </w:rPr>
        <w:t>Konigsberg, L. W., &amp; Adams, B. J. (2014). Estimating the number of individuals represented by commingled human remains: a critical evaluation of methods. In Commingled human remains (pp. 193-220). Academic Press.[A9.1, A9.2]</w:t>
      </w:r>
    </w:p>
    <w:p w14:paraId="6C9D25FA" w14:textId="77777777" w:rsidR="005B42C9" w:rsidRPr="005B42C9" w:rsidRDefault="005B42C9" w:rsidP="002068AC">
      <w:pPr>
        <w:jc w:val="both"/>
        <w:rPr>
          <w:rFonts w:ascii="Arial" w:eastAsia="Calibri" w:hAnsi="Arial" w:cs="Arial"/>
          <w:sz w:val="22"/>
          <w:szCs w:val="22"/>
        </w:rPr>
      </w:pPr>
    </w:p>
    <w:p w14:paraId="63C6D524" w14:textId="77777777" w:rsidR="005B42C9" w:rsidRPr="005B42C9" w:rsidRDefault="005B42C9" w:rsidP="002068AC">
      <w:pPr>
        <w:jc w:val="both"/>
        <w:rPr>
          <w:rFonts w:ascii="Arial" w:eastAsia="Calibri" w:hAnsi="Arial" w:cs="Arial"/>
          <w:sz w:val="22"/>
          <w:szCs w:val="22"/>
        </w:rPr>
      </w:pPr>
      <w:r w:rsidRPr="005B42C9">
        <w:rPr>
          <w:rFonts w:ascii="Arial" w:eastAsia="Calibri" w:hAnsi="Arial" w:cs="Arial"/>
          <w:sz w:val="22"/>
          <w:szCs w:val="22"/>
        </w:rPr>
        <w:t xml:space="preserve">Palmiotto, A., Brown, C. A., &amp; LeGarde, C. B. (2019). Estimating the number of individuals in a </w:t>
      </w:r>
      <w:proofErr w:type="gramStart"/>
      <w:r w:rsidRPr="005B42C9">
        <w:rPr>
          <w:rFonts w:ascii="Arial" w:eastAsia="Calibri" w:hAnsi="Arial" w:cs="Arial"/>
          <w:sz w:val="22"/>
          <w:szCs w:val="22"/>
        </w:rPr>
        <w:t>large commingled</w:t>
      </w:r>
      <w:proofErr w:type="gramEnd"/>
      <w:r w:rsidRPr="005B42C9">
        <w:rPr>
          <w:rFonts w:ascii="Arial" w:eastAsia="Calibri" w:hAnsi="Arial" w:cs="Arial"/>
          <w:sz w:val="22"/>
          <w:szCs w:val="22"/>
        </w:rPr>
        <w:t xml:space="preserve"> assemblage.  Forensic Anthropology 2(2):129-138. [A9.2]</w:t>
      </w:r>
    </w:p>
    <w:p w14:paraId="5DEBA084" w14:textId="77777777" w:rsidR="005B42C9" w:rsidRPr="005B42C9" w:rsidRDefault="005B42C9" w:rsidP="002068AC">
      <w:pPr>
        <w:jc w:val="both"/>
        <w:rPr>
          <w:rFonts w:ascii="Arial" w:eastAsia="Calibri" w:hAnsi="Arial" w:cs="Arial"/>
          <w:sz w:val="22"/>
          <w:szCs w:val="22"/>
        </w:rPr>
      </w:pPr>
    </w:p>
    <w:p w14:paraId="3379CB02" w14:textId="77777777" w:rsidR="005B42C9" w:rsidRPr="005B42C9" w:rsidRDefault="005B42C9" w:rsidP="002068AC">
      <w:pPr>
        <w:jc w:val="both"/>
        <w:rPr>
          <w:rFonts w:ascii="Arial" w:eastAsia="Calibri" w:hAnsi="Arial" w:cs="Arial"/>
          <w:sz w:val="22"/>
          <w:szCs w:val="22"/>
        </w:rPr>
      </w:pPr>
      <w:r w:rsidRPr="005B42C9">
        <w:rPr>
          <w:rFonts w:ascii="Arial" w:eastAsia="Calibri" w:hAnsi="Arial" w:cs="Arial"/>
          <w:sz w:val="22"/>
          <w:szCs w:val="22"/>
        </w:rPr>
        <w:t xml:space="preserve">Palmiotto, A., </w:t>
      </w:r>
      <w:proofErr w:type="spellStart"/>
      <w:r w:rsidRPr="005B42C9">
        <w:rPr>
          <w:rFonts w:ascii="Arial" w:eastAsia="Calibri" w:hAnsi="Arial" w:cs="Arial"/>
          <w:sz w:val="22"/>
          <w:szCs w:val="22"/>
        </w:rPr>
        <w:t>Maijanen</w:t>
      </w:r>
      <w:proofErr w:type="spellEnd"/>
      <w:r w:rsidRPr="005B42C9">
        <w:rPr>
          <w:rFonts w:ascii="Arial" w:eastAsia="Calibri" w:hAnsi="Arial" w:cs="Arial"/>
          <w:sz w:val="22"/>
          <w:szCs w:val="22"/>
        </w:rPr>
        <w:t xml:space="preserve">, H., LeGarde, C. B., &amp; </w:t>
      </w:r>
      <w:proofErr w:type="spellStart"/>
      <w:r w:rsidRPr="005B42C9">
        <w:rPr>
          <w:rFonts w:ascii="Arial" w:eastAsia="Calibri" w:hAnsi="Arial" w:cs="Arial"/>
          <w:sz w:val="22"/>
          <w:szCs w:val="22"/>
        </w:rPr>
        <w:t>Ingvoldstad</w:t>
      </w:r>
      <w:proofErr w:type="spellEnd"/>
      <w:r w:rsidRPr="005B42C9">
        <w:rPr>
          <w:rFonts w:ascii="Arial" w:eastAsia="Calibri" w:hAnsi="Arial" w:cs="Arial"/>
          <w:sz w:val="22"/>
          <w:szCs w:val="22"/>
        </w:rPr>
        <w:t>, M. (2024). Advances in commingled human remains analysis between 2014 and 2023. Journal of Forensic Sciences, 69(5), 1604-1619. [A9.1, A9.2]</w:t>
      </w:r>
    </w:p>
    <w:p w14:paraId="626DEA82" w14:textId="77777777" w:rsidR="005B42C9" w:rsidRPr="005B42C9" w:rsidRDefault="005B42C9" w:rsidP="002068AC">
      <w:pPr>
        <w:jc w:val="both"/>
        <w:rPr>
          <w:rFonts w:ascii="Arial" w:eastAsia="Calibri" w:hAnsi="Arial" w:cs="Arial"/>
          <w:sz w:val="22"/>
          <w:szCs w:val="22"/>
        </w:rPr>
      </w:pPr>
    </w:p>
    <w:p w14:paraId="2DCA74D0" w14:textId="77777777" w:rsidR="005B42C9" w:rsidRPr="005B42C9" w:rsidRDefault="005B42C9" w:rsidP="002068AC">
      <w:pPr>
        <w:jc w:val="both"/>
        <w:rPr>
          <w:rFonts w:ascii="Arial" w:eastAsia="Calibri" w:hAnsi="Arial" w:cs="Arial"/>
          <w:sz w:val="22"/>
          <w:szCs w:val="22"/>
        </w:rPr>
      </w:pPr>
    </w:p>
    <w:p w14:paraId="4AF02581" w14:textId="77777777" w:rsidR="005B42C9" w:rsidRPr="005B42C9" w:rsidRDefault="005B42C9" w:rsidP="002068AC">
      <w:pPr>
        <w:jc w:val="both"/>
        <w:rPr>
          <w:rFonts w:ascii="Arial" w:eastAsia="Calibri" w:hAnsi="Arial" w:cs="Arial"/>
          <w:sz w:val="22"/>
          <w:szCs w:val="22"/>
        </w:rPr>
      </w:pPr>
    </w:p>
    <w:p w14:paraId="79DBACD0" w14:textId="77777777" w:rsidR="005B42C9" w:rsidRPr="005B42C9" w:rsidRDefault="005B42C9" w:rsidP="002068AC">
      <w:pPr>
        <w:jc w:val="both"/>
        <w:rPr>
          <w:rFonts w:ascii="Arial" w:eastAsia="Calibri" w:hAnsi="Arial" w:cs="Arial"/>
          <w:sz w:val="22"/>
          <w:szCs w:val="22"/>
        </w:rPr>
      </w:pPr>
    </w:p>
    <w:p w14:paraId="7B81976D" w14:textId="77777777" w:rsidR="005B42C9" w:rsidRPr="005B42C9" w:rsidRDefault="005B42C9" w:rsidP="002068AC">
      <w:pPr>
        <w:jc w:val="both"/>
        <w:rPr>
          <w:rFonts w:ascii="Arial" w:eastAsia="Calibri" w:hAnsi="Arial" w:cs="Arial"/>
          <w:sz w:val="22"/>
          <w:szCs w:val="22"/>
        </w:rPr>
      </w:pPr>
    </w:p>
    <w:p w14:paraId="359B3825" w14:textId="77777777" w:rsidR="005B42C9" w:rsidRPr="005B42C9" w:rsidRDefault="005B42C9" w:rsidP="002068AC">
      <w:pPr>
        <w:jc w:val="both"/>
        <w:rPr>
          <w:rFonts w:ascii="Arial" w:eastAsia="Calibri" w:hAnsi="Arial" w:cs="Arial"/>
          <w:sz w:val="22"/>
          <w:szCs w:val="22"/>
        </w:rPr>
      </w:pPr>
    </w:p>
    <w:p w14:paraId="1EC5AD8C" w14:textId="77777777" w:rsidR="005B42C9" w:rsidRPr="005B42C9" w:rsidRDefault="005B42C9" w:rsidP="002068AC">
      <w:pPr>
        <w:jc w:val="both"/>
        <w:rPr>
          <w:rFonts w:ascii="Arial" w:eastAsia="Calibri" w:hAnsi="Arial" w:cs="Arial"/>
          <w:sz w:val="22"/>
          <w:szCs w:val="22"/>
        </w:rPr>
      </w:pPr>
    </w:p>
    <w:p w14:paraId="209F9FFD" w14:textId="77777777" w:rsidR="005B42C9" w:rsidRPr="005B42C9" w:rsidRDefault="005B42C9" w:rsidP="002068AC">
      <w:pPr>
        <w:jc w:val="both"/>
        <w:rPr>
          <w:rFonts w:ascii="Arial" w:eastAsia="Calibri" w:hAnsi="Arial" w:cs="Arial"/>
          <w:sz w:val="22"/>
          <w:szCs w:val="22"/>
        </w:rPr>
      </w:pPr>
    </w:p>
    <w:p w14:paraId="26C9755E" w14:textId="77777777" w:rsidR="005B42C9" w:rsidRPr="005B42C9" w:rsidRDefault="005B42C9" w:rsidP="002068AC">
      <w:pPr>
        <w:jc w:val="both"/>
        <w:rPr>
          <w:rFonts w:ascii="Arial" w:eastAsia="Calibri" w:hAnsi="Arial" w:cs="Arial"/>
          <w:sz w:val="22"/>
          <w:szCs w:val="22"/>
        </w:rPr>
      </w:pPr>
    </w:p>
    <w:p w14:paraId="19A8636E" w14:textId="77777777" w:rsidR="005B42C9" w:rsidRPr="005B42C9" w:rsidRDefault="005B42C9" w:rsidP="002068AC">
      <w:pPr>
        <w:jc w:val="both"/>
        <w:rPr>
          <w:rFonts w:ascii="Arial" w:eastAsia="Calibri" w:hAnsi="Arial" w:cs="Arial"/>
          <w:sz w:val="22"/>
          <w:szCs w:val="22"/>
        </w:rPr>
      </w:pPr>
    </w:p>
    <w:p w14:paraId="6BFB22FD" w14:textId="77777777" w:rsidR="005B42C9" w:rsidRPr="005B42C9" w:rsidRDefault="005B42C9" w:rsidP="002068AC">
      <w:pPr>
        <w:jc w:val="both"/>
        <w:rPr>
          <w:rFonts w:ascii="Arial" w:eastAsia="Calibri" w:hAnsi="Arial" w:cs="Arial"/>
          <w:sz w:val="22"/>
          <w:szCs w:val="22"/>
        </w:rPr>
      </w:pPr>
    </w:p>
    <w:p w14:paraId="1C7A2E50" w14:textId="77777777" w:rsidR="005B42C9" w:rsidRPr="005B42C9" w:rsidRDefault="005B42C9" w:rsidP="002068AC">
      <w:pPr>
        <w:jc w:val="both"/>
        <w:rPr>
          <w:rFonts w:ascii="Arial" w:eastAsia="Calibri" w:hAnsi="Arial" w:cs="Arial"/>
          <w:sz w:val="22"/>
          <w:szCs w:val="22"/>
        </w:rPr>
      </w:pPr>
    </w:p>
    <w:p w14:paraId="164F63D8" w14:textId="77777777" w:rsidR="005B42C9" w:rsidRPr="005B42C9" w:rsidRDefault="005B42C9" w:rsidP="002068AC">
      <w:pPr>
        <w:jc w:val="both"/>
        <w:rPr>
          <w:rFonts w:ascii="Arial" w:eastAsia="Calibri" w:hAnsi="Arial" w:cs="Arial"/>
          <w:sz w:val="22"/>
          <w:szCs w:val="22"/>
        </w:rPr>
      </w:pPr>
    </w:p>
    <w:p w14:paraId="7EB61275" w14:textId="77777777" w:rsidR="005B42C9" w:rsidRPr="005B42C9" w:rsidRDefault="005B42C9" w:rsidP="002068AC">
      <w:pPr>
        <w:jc w:val="both"/>
        <w:rPr>
          <w:rFonts w:ascii="Arial" w:eastAsia="Calibri" w:hAnsi="Arial" w:cs="Arial"/>
          <w:sz w:val="22"/>
          <w:szCs w:val="22"/>
        </w:rPr>
      </w:pPr>
    </w:p>
    <w:p w14:paraId="29EF0D2A" w14:textId="77777777" w:rsidR="005B42C9" w:rsidRPr="005B42C9" w:rsidRDefault="005B42C9" w:rsidP="002068AC">
      <w:pPr>
        <w:jc w:val="both"/>
        <w:rPr>
          <w:rFonts w:ascii="Arial" w:eastAsia="Calibri" w:hAnsi="Arial" w:cs="Arial"/>
          <w:sz w:val="22"/>
          <w:szCs w:val="22"/>
        </w:rPr>
      </w:pPr>
    </w:p>
    <w:p w14:paraId="52D8C512" w14:textId="77777777" w:rsidR="005B42C9" w:rsidRPr="005B42C9" w:rsidRDefault="005B42C9" w:rsidP="002068AC">
      <w:pPr>
        <w:jc w:val="both"/>
        <w:rPr>
          <w:rFonts w:ascii="Arial" w:eastAsia="Calibri" w:hAnsi="Arial" w:cs="Arial"/>
          <w:sz w:val="22"/>
          <w:szCs w:val="22"/>
        </w:rPr>
      </w:pPr>
    </w:p>
    <w:p w14:paraId="610D21F2" w14:textId="77777777" w:rsidR="005B42C9" w:rsidRPr="005B42C9" w:rsidRDefault="005B42C9" w:rsidP="002068AC">
      <w:pPr>
        <w:jc w:val="both"/>
        <w:rPr>
          <w:rFonts w:ascii="Arial" w:eastAsia="Calibri" w:hAnsi="Arial" w:cs="Arial"/>
          <w:sz w:val="22"/>
          <w:szCs w:val="22"/>
        </w:rPr>
      </w:pPr>
    </w:p>
    <w:p w14:paraId="4FDC3C05" w14:textId="77777777" w:rsidR="005B42C9" w:rsidRPr="005B42C9" w:rsidRDefault="005B42C9" w:rsidP="002068AC">
      <w:pPr>
        <w:jc w:val="both"/>
        <w:rPr>
          <w:rFonts w:ascii="Arial" w:eastAsia="Calibri" w:hAnsi="Arial" w:cs="Arial"/>
          <w:sz w:val="22"/>
          <w:szCs w:val="22"/>
        </w:rPr>
      </w:pPr>
    </w:p>
    <w:p w14:paraId="4EF7765D" w14:textId="77777777" w:rsidR="005B42C9" w:rsidRPr="005B42C9" w:rsidRDefault="005B42C9" w:rsidP="002068AC">
      <w:pPr>
        <w:jc w:val="both"/>
        <w:rPr>
          <w:rFonts w:ascii="Arial" w:eastAsia="Calibri" w:hAnsi="Arial" w:cs="Arial"/>
          <w:sz w:val="22"/>
          <w:szCs w:val="22"/>
        </w:rPr>
      </w:pPr>
    </w:p>
    <w:p w14:paraId="0684B2DE" w14:textId="77777777" w:rsidR="005B42C9" w:rsidRPr="005B42C9" w:rsidRDefault="005B42C9" w:rsidP="002068AC">
      <w:pPr>
        <w:jc w:val="both"/>
        <w:rPr>
          <w:rFonts w:ascii="Arial" w:eastAsia="Calibri" w:hAnsi="Arial" w:cs="Arial"/>
          <w:sz w:val="22"/>
          <w:szCs w:val="22"/>
        </w:rPr>
      </w:pPr>
    </w:p>
    <w:p w14:paraId="2BCEA366" w14:textId="77777777" w:rsidR="005B42C9" w:rsidRPr="005B42C9" w:rsidRDefault="005B42C9" w:rsidP="002068AC">
      <w:pPr>
        <w:jc w:val="both"/>
        <w:rPr>
          <w:rFonts w:ascii="Arial" w:eastAsia="Calibri" w:hAnsi="Arial" w:cs="Arial"/>
          <w:sz w:val="22"/>
          <w:szCs w:val="22"/>
        </w:rPr>
      </w:pPr>
    </w:p>
    <w:p w14:paraId="315F5519" w14:textId="77777777" w:rsidR="005B42C9" w:rsidRPr="005B42C9" w:rsidRDefault="005B42C9" w:rsidP="002068AC">
      <w:pPr>
        <w:jc w:val="both"/>
        <w:rPr>
          <w:rFonts w:ascii="Arial" w:eastAsia="Calibri" w:hAnsi="Arial" w:cs="Arial"/>
          <w:sz w:val="22"/>
          <w:szCs w:val="22"/>
        </w:rPr>
      </w:pPr>
    </w:p>
    <w:p w14:paraId="31508024" w14:textId="77777777" w:rsidR="005B42C9" w:rsidRPr="005B42C9" w:rsidRDefault="005B42C9" w:rsidP="002068AC">
      <w:pPr>
        <w:jc w:val="both"/>
        <w:rPr>
          <w:rFonts w:ascii="Arial" w:eastAsia="Calibri" w:hAnsi="Arial" w:cs="Arial"/>
          <w:sz w:val="22"/>
          <w:szCs w:val="22"/>
        </w:rPr>
      </w:pPr>
    </w:p>
    <w:p w14:paraId="7850B9AB" w14:textId="77777777" w:rsidR="005B42C9" w:rsidRPr="005B42C9" w:rsidRDefault="005B42C9" w:rsidP="002068AC">
      <w:pPr>
        <w:jc w:val="both"/>
        <w:rPr>
          <w:rFonts w:ascii="Arial" w:eastAsia="Calibri" w:hAnsi="Arial" w:cs="Arial"/>
          <w:sz w:val="22"/>
          <w:szCs w:val="22"/>
        </w:rPr>
      </w:pPr>
    </w:p>
    <w:p w14:paraId="4BEFD818" w14:textId="77777777" w:rsidR="005B42C9" w:rsidRDefault="005B42C9" w:rsidP="002068AC">
      <w:pPr>
        <w:jc w:val="both"/>
        <w:rPr>
          <w:rFonts w:ascii="Arial" w:eastAsia="Calibri" w:hAnsi="Arial" w:cs="Arial"/>
          <w:sz w:val="22"/>
          <w:szCs w:val="22"/>
        </w:rPr>
      </w:pPr>
    </w:p>
    <w:p w14:paraId="668EF23B" w14:textId="77777777" w:rsidR="003E546A" w:rsidRPr="005B42C9" w:rsidRDefault="003E546A" w:rsidP="002068AC">
      <w:pPr>
        <w:jc w:val="both"/>
        <w:rPr>
          <w:rFonts w:ascii="Arial" w:eastAsia="Calibri" w:hAnsi="Arial" w:cs="Arial"/>
          <w:sz w:val="22"/>
          <w:szCs w:val="22"/>
        </w:rPr>
      </w:pPr>
    </w:p>
    <w:p w14:paraId="4B41FE0A" w14:textId="77777777" w:rsidR="005B42C9" w:rsidRDefault="005B42C9" w:rsidP="002068AC">
      <w:pPr>
        <w:jc w:val="both"/>
        <w:rPr>
          <w:rFonts w:ascii="Arial" w:eastAsia="Calibri" w:hAnsi="Arial" w:cs="Arial"/>
          <w:b/>
          <w:bCs/>
        </w:rPr>
      </w:pPr>
      <w:r w:rsidRPr="003E546A">
        <w:rPr>
          <w:rFonts w:ascii="Arial" w:eastAsia="Calibri" w:hAnsi="Arial" w:cs="Arial"/>
          <w:b/>
          <w:bCs/>
        </w:rPr>
        <w:t xml:space="preserve">10. Personal Identification </w:t>
      </w:r>
    </w:p>
    <w:p w14:paraId="7CFE65BD" w14:textId="77777777" w:rsidR="000E4588" w:rsidRPr="003E546A" w:rsidRDefault="000E4588" w:rsidP="002068AC">
      <w:pPr>
        <w:jc w:val="both"/>
        <w:rPr>
          <w:rFonts w:ascii="Arial" w:eastAsia="Calibri" w:hAnsi="Arial" w:cs="Arial"/>
          <w:b/>
          <w:bCs/>
        </w:rPr>
      </w:pPr>
    </w:p>
    <w:tbl>
      <w:tblPr>
        <w:tblW w:w="0" w:type="auto"/>
        <w:tblCellMar>
          <w:top w:w="15" w:type="dxa"/>
          <w:left w:w="15" w:type="dxa"/>
          <w:bottom w:w="15" w:type="dxa"/>
          <w:right w:w="15" w:type="dxa"/>
        </w:tblCellMar>
        <w:tblLook w:val="04A0" w:firstRow="1" w:lastRow="0" w:firstColumn="1" w:lastColumn="0" w:noHBand="0" w:noVBand="1"/>
      </w:tblPr>
      <w:tblGrid>
        <w:gridCol w:w="898"/>
        <w:gridCol w:w="8442"/>
      </w:tblGrid>
      <w:tr w:rsidR="000E4588" w:rsidRPr="000E4588" w14:paraId="35E9D61A" w14:textId="77777777" w:rsidTr="00EB574F">
        <w:trPr>
          <w:trHeight w:val="6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117944" w14:textId="529B04B3" w:rsidR="000E4588" w:rsidRPr="000E4588" w:rsidRDefault="000E4588" w:rsidP="002068AC">
            <w:pPr>
              <w:jc w:val="both"/>
              <w:rPr>
                <w:rFonts w:ascii="Arial" w:eastAsia="Calibri" w:hAnsi="Arial" w:cs="Arial"/>
                <w:sz w:val="22"/>
                <w:szCs w:val="22"/>
              </w:rPr>
            </w:pPr>
            <w:r w:rsidRPr="000E4588">
              <w:rPr>
                <w:rFonts w:ascii="Arial" w:eastAsia="Calibri" w:hAnsi="Arial" w:cs="Arial"/>
                <w:sz w:val="22"/>
                <w:szCs w:val="22"/>
              </w:rPr>
              <w:t>A10.1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F65F80C" w14:textId="77777777" w:rsidR="000E4588" w:rsidRPr="000E4588" w:rsidRDefault="000E4588" w:rsidP="002068AC">
            <w:pPr>
              <w:jc w:val="both"/>
              <w:rPr>
                <w:rFonts w:ascii="Arial" w:eastAsia="Calibri" w:hAnsi="Arial" w:cs="Arial"/>
                <w:sz w:val="22"/>
                <w:szCs w:val="22"/>
              </w:rPr>
            </w:pPr>
            <w:r w:rsidRPr="000E4588">
              <w:rPr>
                <w:rFonts w:ascii="Arial" w:eastAsia="Calibri" w:hAnsi="Arial" w:cs="Arial"/>
                <w:sz w:val="22"/>
                <w:szCs w:val="22"/>
              </w:rPr>
              <w:t>Identify features useful for personal ID (e.g. frontal sinus, sternotomy wires, dental fillings and  implants) on radiologic images and/or skeletal remains</w:t>
            </w:r>
          </w:p>
        </w:tc>
      </w:tr>
      <w:tr w:rsidR="000E4588" w:rsidRPr="000E4588" w14:paraId="21038F10" w14:textId="77777777" w:rsidTr="00EB574F">
        <w:trPr>
          <w:trHeight w:val="3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C77318" w14:textId="2010339A" w:rsidR="000E4588" w:rsidRPr="000E4588" w:rsidRDefault="000E4588" w:rsidP="002068AC">
            <w:pPr>
              <w:jc w:val="both"/>
              <w:rPr>
                <w:rFonts w:ascii="Arial" w:eastAsia="Calibri" w:hAnsi="Arial" w:cs="Arial"/>
                <w:sz w:val="22"/>
                <w:szCs w:val="22"/>
              </w:rPr>
            </w:pPr>
            <w:r w:rsidRPr="000E4588">
              <w:rPr>
                <w:rFonts w:ascii="Arial" w:eastAsia="Calibri" w:hAnsi="Arial" w:cs="Arial"/>
                <w:sz w:val="22"/>
                <w:szCs w:val="22"/>
              </w:rPr>
              <w:t>A10.2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973CC8" w14:textId="77777777" w:rsidR="000E4588" w:rsidRPr="000E4588" w:rsidRDefault="000E4588" w:rsidP="002068AC">
            <w:pPr>
              <w:jc w:val="both"/>
              <w:rPr>
                <w:rFonts w:ascii="Arial" w:eastAsia="Calibri" w:hAnsi="Arial" w:cs="Arial"/>
                <w:sz w:val="22"/>
                <w:szCs w:val="22"/>
              </w:rPr>
            </w:pPr>
            <w:r w:rsidRPr="000E4588">
              <w:rPr>
                <w:rFonts w:ascii="Arial" w:eastAsia="Calibri" w:hAnsi="Arial" w:cs="Arial"/>
                <w:sz w:val="22"/>
                <w:szCs w:val="22"/>
              </w:rPr>
              <w:t>Define radiologic imaging terminology (e.g. radiolucency, radiopacity, radiodensity, etc.)</w:t>
            </w:r>
          </w:p>
        </w:tc>
      </w:tr>
      <w:tr w:rsidR="000E4588" w:rsidRPr="000E4588" w14:paraId="3E570250" w14:textId="77777777" w:rsidTr="00EB574F">
        <w:trPr>
          <w:trHeight w:val="3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941A74" w14:textId="289855FE" w:rsidR="000E4588" w:rsidRPr="000E4588" w:rsidRDefault="000E4588" w:rsidP="002068AC">
            <w:pPr>
              <w:jc w:val="both"/>
              <w:rPr>
                <w:rFonts w:ascii="Arial" w:eastAsia="Calibri" w:hAnsi="Arial" w:cs="Arial"/>
                <w:sz w:val="22"/>
                <w:szCs w:val="22"/>
              </w:rPr>
            </w:pPr>
            <w:r w:rsidRPr="000E4588">
              <w:rPr>
                <w:rFonts w:ascii="Arial" w:eastAsia="Calibri" w:hAnsi="Arial" w:cs="Arial"/>
                <w:sz w:val="22"/>
                <w:szCs w:val="22"/>
              </w:rPr>
              <w:t>A10.3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C78C1C" w14:textId="77777777" w:rsidR="000E4588" w:rsidRPr="000E4588" w:rsidRDefault="000E4588" w:rsidP="002068AC">
            <w:pPr>
              <w:jc w:val="both"/>
              <w:rPr>
                <w:rFonts w:ascii="Arial" w:eastAsia="Calibri" w:hAnsi="Arial" w:cs="Arial"/>
                <w:sz w:val="22"/>
                <w:szCs w:val="22"/>
              </w:rPr>
            </w:pPr>
            <w:r w:rsidRPr="000E4588">
              <w:rPr>
                <w:rFonts w:ascii="Arial" w:eastAsia="Calibri" w:hAnsi="Arial" w:cs="Arial"/>
                <w:sz w:val="22"/>
                <w:szCs w:val="22"/>
              </w:rPr>
              <w:t>Differentiate hard and soft tissues on imaging </w:t>
            </w:r>
          </w:p>
        </w:tc>
      </w:tr>
      <w:tr w:rsidR="000E4588" w:rsidRPr="000E4588" w14:paraId="33C9E69D" w14:textId="77777777" w:rsidTr="00EB574F">
        <w:trPr>
          <w:trHeight w:val="4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007F85" w14:textId="7727A9D7" w:rsidR="000E4588" w:rsidRPr="000E4588" w:rsidRDefault="000E4588" w:rsidP="002068AC">
            <w:pPr>
              <w:jc w:val="both"/>
              <w:rPr>
                <w:rFonts w:ascii="Arial" w:eastAsia="Calibri" w:hAnsi="Arial" w:cs="Arial"/>
                <w:sz w:val="22"/>
                <w:szCs w:val="22"/>
              </w:rPr>
            </w:pPr>
            <w:r w:rsidRPr="000E4588">
              <w:rPr>
                <w:rFonts w:ascii="Arial" w:eastAsia="Calibri" w:hAnsi="Arial" w:cs="Arial"/>
                <w:sz w:val="22"/>
                <w:szCs w:val="22"/>
              </w:rPr>
              <w:t>A10.4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28DD98" w14:textId="77777777" w:rsidR="000E4588" w:rsidRPr="000E4588" w:rsidRDefault="000E4588" w:rsidP="002068AC">
            <w:pPr>
              <w:jc w:val="both"/>
              <w:rPr>
                <w:rFonts w:ascii="Arial" w:eastAsia="Calibri" w:hAnsi="Arial" w:cs="Arial"/>
                <w:sz w:val="22"/>
                <w:szCs w:val="22"/>
              </w:rPr>
            </w:pPr>
            <w:r w:rsidRPr="000E4588">
              <w:rPr>
                <w:rFonts w:ascii="Arial" w:eastAsia="Calibri" w:hAnsi="Arial" w:cs="Arial"/>
                <w:sz w:val="22"/>
                <w:szCs w:val="22"/>
              </w:rPr>
              <w:t>Identify skeletal landmarks and features on imaging</w:t>
            </w:r>
          </w:p>
        </w:tc>
      </w:tr>
      <w:tr w:rsidR="000E4588" w:rsidRPr="000E4588" w14:paraId="1EA11C91" w14:textId="77777777" w:rsidTr="00EB574F">
        <w:trPr>
          <w:trHeight w:val="3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A0D911" w14:textId="47ABA2A1" w:rsidR="000E4588" w:rsidRPr="000E4588" w:rsidRDefault="000E4588" w:rsidP="002068AC">
            <w:pPr>
              <w:jc w:val="both"/>
              <w:rPr>
                <w:rFonts w:ascii="Arial" w:eastAsia="Calibri" w:hAnsi="Arial" w:cs="Arial"/>
                <w:sz w:val="22"/>
                <w:szCs w:val="22"/>
              </w:rPr>
            </w:pPr>
            <w:r w:rsidRPr="000E4588">
              <w:rPr>
                <w:rFonts w:ascii="Arial" w:eastAsia="Calibri" w:hAnsi="Arial" w:cs="Arial"/>
                <w:sz w:val="22"/>
                <w:szCs w:val="22"/>
              </w:rPr>
              <w:t>A10.5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B45EAF" w14:textId="77777777" w:rsidR="000E4588" w:rsidRPr="000E4588" w:rsidRDefault="000E4588" w:rsidP="002068AC">
            <w:pPr>
              <w:jc w:val="both"/>
              <w:rPr>
                <w:rFonts w:ascii="Arial" w:eastAsia="Calibri" w:hAnsi="Arial" w:cs="Arial"/>
                <w:sz w:val="22"/>
                <w:szCs w:val="22"/>
              </w:rPr>
            </w:pPr>
            <w:r w:rsidRPr="000E4588">
              <w:rPr>
                <w:rFonts w:ascii="Arial" w:eastAsia="Calibri" w:hAnsi="Arial" w:cs="Arial"/>
                <w:sz w:val="22"/>
                <w:szCs w:val="22"/>
              </w:rPr>
              <w:t>Describe basic uses of isotopic testing</w:t>
            </w:r>
          </w:p>
        </w:tc>
      </w:tr>
      <w:tr w:rsidR="000E4588" w:rsidRPr="000E4588" w14:paraId="38C78C9B" w14:textId="77777777" w:rsidTr="00EB574F">
        <w:trPr>
          <w:trHeight w:val="3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5D1BAF9" w14:textId="1E8AC857" w:rsidR="000E4588" w:rsidRPr="000E4588" w:rsidRDefault="000E4588" w:rsidP="002068AC">
            <w:pPr>
              <w:jc w:val="both"/>
              <w:rPr>
                <w:rFonts w:ascii="Arial" w:eastAsia="Calibri" w:hAnsi="Arial" w:cs="Arial"/>
                <w:sz w:val="22"/>
                <w:szCs w:val="22"/>
              </w:rPr>
            </w:pPr>
            <w:r w:rsidRPr="000E4588">
              <w:rPr>
                <w:rFonts w:ascii="Arial" w:eastAsia="Calibri" w:hAnsi="Arial" w:cs="Arial"/>
                <w:sz w:val="22"/>
                <w:szCs w:val="22"/>
              </w:rPr>
              <w:t>A10.6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FEA331" w14:textId="77777777" w:rsidR="000E4588" w:rsidRPr="000E4588" w:rsidRDefault="000E4588" w:rsidP="002068AC">
            <w:pPr>
              <w:jc w:val="both"/>
              <w:rPr>
                <w:rFonts w:ascii="Arial" w:eastAsia="Calibri" w:hAnsi="Arial" w:cs="Arial"/>
                <w:sz w:val="22"/>
                <w:szCs w:val="22"/>
              </w:rPr>
            </w:pPr>
            <w:r w:rsidRPr="000E4588">
              <w:rPr>
                <w:rFonts w:ascii="Arial" w:eastAsia="Calibri" w:hAnsi="Arial" w:cs="Arial"/>
                <w:sz w:val="22"/>
                <w:szCs w:val="22"/>
              </w:rPr>
              <w:t>List the most suitable elements for isotopic analyses</w:t>
            </w:r>
          </w:p>
        </w:tc>
      </w:tr>
      <w:tr w:rsidR="000E4588" w:rsidRPr="000E4588" w14:paraId="485B3206" w14:textId="77777777" w:rsidTr="00EB574F">
        <w:trPr>
          <w:trHeight w:val="6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69EF3F" w14:textId="77777777" w:rsidR="000E4588" w:rsidRPr="000E4588" w:rsidRDefault="000E4588" w:rsidP="002068AC">
            <w:pPr>
              <w:jc w:val="both"/>
              <w:rPr>
                <w:rFonts w:ascii="Arial" w:eastAsia="Calibri" w:hAnsi="Arial" w:cs="Arial"/>
                <w:sz w:val="22"/>
                <w:szCs w:val="22"/>
              </w:rPr>
            </w:pPr>
            <w:r w:rsidRPr="000E4588">
              <w:rPr>
                <w:rFonts w:ascii="Arial" w:eastAsia="Calibri" w:hAnsi="Arial" w:cs="Arial"/>
                <w:sz w:val="22"/>
                <w:szCs w:val="22"/>
              </w:rPr>
              <w:t>A10.7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0C3508" w14:textId="77777777" w:rsidR="000E4588" w:rsidRPr="000E4588" w:rsidRDefault="000E4588" w:rsidP="002068AC">
            <w:pPr>
              <w:jc w:val="both"/>
              <w:rPr>
                <w:rFonts w:ascii="Arial" w:eastAsia="Calibri" w:hAnsi="Arial" w:cs="Arial"/>
                <w:sz w:val="22"/>
                <w:szCs w:val="22"/>
              </w:rPr>
            </w:pPr>
            <w:r w:rsidRPr="000E4588">
              <w:rPr>
                <w:rFonts w:ascii="Arial" w:eastAsia="Calibri" w:hAnsi="Arial" w:cs="Arial"/>
                <w:sz w:val="22"/>
                <w:szCs w:val="22"/>
              </w:rPr>
              <w:t>Identify gross and radiographic characteristics indicative of osseous healing (i.e., sclerosis, new bone formation)</w:t>
            </w:r>
          </w:p>
        </w:tc>
      </w:tr>
      <w:tr w:rsidR="000E4588" w:rsidRPr="000E4588" w14:paraId="58D40D61" w14:textId="77777777" w:rsidTr="00EB574F">
        <w:trPr>
          <w:trHeight w:val="4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9AD9E8" w14:textId="4D3480E1" w:rsidR="000E4588" w:rsidRPr="000E4588" w:rsidRDefault="000E4588" w:rsidP="002068AC">
            <w:pPr>
              <w:jc w:val="both"/>
              <w:rPr>
                <w:rFonts w:ascii="Arial" w:eastAsia="Calibri" w:hAnsi="Arial" w:cs="Arial"/>
                <w:sz w:val="22"/>
                <w:szCs w:val="22"/>
              </w:rPr>
            </w:pPr>
            <w:r w:rsidRPr="000E4588">
              <w:rPr>
                <w:rFonts w:ascii="Arial" w:eastAsia="Calibri" w:hAnsi="Arial" w:cs="Arial"/>
                <w:sz w:val="22"/>
                <w:szCs w:val="22"/>
              </w:rPr>
              <w:t>A10.8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A68F4B" w14:textId="77777777" w:rsidR="000E4588" w:rsidRPr="000E4588" w:rsidRDefault="000E4588" w:rsidP="002068AC">
            <w:pPr>
              <w:jc w:val="both"/>
              <w:rPr>
                <w:rFonts w:ascii="Arial" w:eastAsia="Calibri" w:hAnsi="Arial" w:cs="Arial"/>
                <w:sz w:val="22"/>
                <w:szCs w:val="22"/>
              </w:rPr>
            </w:pPr>
            <w:r w:rsidRPr="000E4588">
              <w:rPr>
                <w:rFonts w:ascii="Arial" w:eastAsia="Calibri" w:hAnsi="Arial" w:cs="Arial"/>
                <w:sz w:val="22"/>
                <w:szCs w:val="22"/>
              </w:rPr>
              <w:t>Utilize appropriate identification terminology (i.e. “consistent with”, “exclusion”)</w:t>
            </w:r>
          </w:p>
        </w:tc>
      </w:tr>
      <w:tr w:rsidR="000E4588" w:rsidRPr="000E4588" w14:paraId="237266F4" w14:textId="77777777" w:rsidTr="00EB574F">
        <w:trPr>
          <w:trHeight w:val="4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1239F9" w14:textId="72411851" w:rsidR="000E4588" w:rsidRPr="000E4588" w:rsidRDefault="000E4588" w:rsidP="002068AC">
            <w:pPr>
              <w:jc w:val="both"/>
              <w:rPr>
                <w:rFonts w:ascii="Arial" w:eastAsia="Calibri" w:hAnsi="Arial" w:cs="Arial"/>
                <w:sz w:val="22"/>
                <w:szCs w:val="22"/>
              </w:rPr>
            </w:pPr>
            <w:r w:rsidRPr="000E4588">
              <w:rPr>
                <w:rFonts w:ascii="Arial" w:eastAsia="Calibri" w:hAnsi="Arial" w:cs="Arial"/>
                <w:sz w:val="22"/>
                <w:szCs w:val="22"/>
              </w:rPr>
              <w:t>A10.9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46E957" w14:textId="77777777" w:rsidR="000E4588" w:rsidRPr="000E4588" w:rsidRDefault="000E4588" w:rsidP="002068AC">
            <w:pPr>
              <w:jc w:val="both"/>
              <w:rPr>
                <w:rFonts w:ascii="Arial" w:eastAsia="Calibri" w:hAnsi="Arial" w:cs="Arial"/>
                <w:sz w:val="22"/>
                <w:szCs w:val="22"/>
              </w:rPr>
            </w:pPr>
            <w:r w:rsidRPr="000E4588">
              <w:rPr>
                <w:rFonts w:ascii="Arial" w:eastAsia="Calibri" w:hAnsi="Arial" w:cs="Arial"/>
                <w:sz w:val="22"/>
                <w:szCs w:val="22"/>
              </w:rPr>
              <w:t>Discuss the factors influencing the recovery of DNA from soft and skeletal tissue</w:t>
            </w:r>
          </w:p>
        </w:tc>
      </w:tr>
      <w:tr w:rsidR="000E4588" w:rsidRPr="000E4588" w14:paraId="0DB8EB58" w14:textId="77777777" w:rsidTr="00EB574F">
        <w:trPr>
          <w:trHeight w:val="6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E468E4" w14:textId="464EE0CC" w:rsidR="000E4588" w:rsidRPr="000E4588" w:rsidRDefault="000E4588" w:rsidP="002068AC">
            <w:pPr>
              <w:jc w:val="both"/>
              <w:rPr>
                <w:rFonts w:ascii="Arial" w:eastAsia="Calibri" w:hAnsi="Arial" w:cs="Arial"/>
                <w:sz w:val="22"/>
                <w:szCs w:val="22"/>
              </w:rPr>
            </w:pPr>
            <w:r w:rsidRPr="000E4588">
              <w:rPr>
                <w:rFonts w:ascii="Arial" w:eastAsia="Calibri" w:hAnsi="Arial" w:cs="Arial"/>
                <w:sz w:val="22"/>
                <w:szCs w:val="22"/>
              </w:rPr>
              <w:t>A10.10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98F342" w14:textId="77777777" w:rsidR="000E4588" w:rsidRPr="000E4588" w:rsidRDefault="000E4588" w:rsidP="002068AC">
            <w:pPr>
              <w:jc w:val="both"/>
              <w:rPr>
                <w:rFonts w:ascii="Arial" w:eastAsia="Calibri" w:hAnsi="Arial" w:cs="Arial"/>
                <w:sz w:val="22"/>
                <w:szCs w:val="22"/>
              </w:rPr>
            </w:pPr>
            <w:r w:rsidRPr="000E4588">
              <w:rPr>
                <w:rFonts w:ascii="Arial" w:eastAsia="Calibri" w:hAnsi="Arial" w:cs="Arial"/>
                <w:sz w:val="22"/>
                <w:szCs w:val="22"/>
              </w:rPr>
              <w:t>List the sampling priority of tissues (blood, muscle, tooth/bone) for DNA testing to obtain appropriate samples for DNA extraction</w:t>
            </w:r>
          </w:p>
        </w:tc>
      </w:tr>
    </w:tbl>
    <w:p w14:paraId="718598E3" w14:textId="77777777" w:rsidR="005B42C9" w:rsidRPr="005B42C9" w:rsidRDefault="005B42C9" w:rsidP="002068AC">
      <w:pPr>
        <w:jc w:val="both"/>
        <w:rPr>
          <w:rFonts w:ascii="Arial" w:eastAsia="Calibri" w:hAnsi="Arial" w:cs="Arial"/>
          <w:sz w:val="22"/>
          <w:szCs w:val="22"/>
        </w:rPr>
      </w:pPr>
    </w:p>
    <w:p w14:paraId="76B19B36" w14:textId="77777777" w:rsidR="005B42C9" w:rsidRPr="005B42C9" w:rsidRDefault="005B42C9" w:rsidP="002068AC">
      <w:pPr>
        <w:jc w:val="both"/>
        <w:rPr>
          <w:rFonts w:ascii="Arial" w:eastAsia="Calibri" w:hAnsi="Arial" w:cs="Arial"/>
          <w:sz w:val="22"/>
          <w:szCs w:val="22"/>
        </w:rPr>
      </w:pPr>
    </w:p>
    <w:p w14:paraId="169C4FF8" w14:textId="77777777" w:rsidR="005B42C9" w:rsidRPr="000E4588" w:rsidRDefault="005B42C9" w:rsidP="002068AC">
      <w:pPr>
        <w:jc w:val="both"/>
        <w:rPr>
          <w:rFonts w:ascii="Arial" w:eastAsia="Calibri" w:hAnsi="Arial" w:cs="Arial"/>
          <w:b/>
          <w:bCs/>
          <w:sz w:val="22"/>
          <w:szCs w:val="22"/>
        </w:rPr>
      </w:pPr>
      <w:r w:rsidRPr="000E4588">
        <w:rPr>
          <w:rFonts w:ascii="Arial" w:eastAsia="Calibri" w:hAnsi="Arial" w:cs="Arial"/>
          <w:b/>
          <w:bCs/>
          <w:sz w:val="22"/>
          <w:szCs w:val="22"/>
        </w:rPr>
        <w:t xml:space="preserve">References </w:t>
      </w:r>
    </w:p>
    <w:p w14:paraId="7D59E8D8" w14:textId="4A00F509"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 xml:space="preserve">ANSI/ASB BPR 089, 1st  Ed. (2020). Best Practice Recommendation for Facial Approximation in Forensic Anthropology.  </w:t>
      </w:r>
      <w:hyperlink r:id="rId20" w:history="1">
        <w:r w:rsidRPr="00F5713E">
          <w:rPr>
            <w:rStyle w:val="Hyperlink"/>
            <w:rFonts w:ascii="Arial" w:eastAsia="Calibri" w:hAnsi="Arial" w:cs="Arial"/>
            <w:sz w:val="22"/>
            <w:szCs w:val="22"/>
          </w:rPr>
          <w:t>https://www.aafs.org/search/standards</w:t>
        </w:r>
      </w:hyperlink>
      <w:r w:rsidRPr="005B42C9">
        <w:rPr>
          <w:rFonts w:ascii="Arial" w:eastAsia="Calibri" w:hAnsi="Arial" w:cs="Arial"/>
          <w:sz w:val="22"/>
          <w:szCs w:val="22"/>
        </w:rPr>
        <w:t xml:space="preserve"> </w:t>
      </w:r>
    </w:p>
    <w:p w14:paraId="179AC715" w14:textId="4B644589"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ANSI/ASB Std. 148, 1st  Ed. (2024). Standard for Personal Identification in Forensic Ant</w:t>
      </w:r>
      <w:r w:rsidR="000E4588">
        <w:rPr>
          <w:rFonts w:ascii="Arial" w:eastAsia="Calibri" w:hAnsi="Arial" w:cs="Arial"/>
          <w:sz w:val="22"/>
          <w:szCs w:val="22"/>
        </w:rPr>
        <w:t>h</w:t>
      </w:r>
      <w:r w:rsidRPr="005B42C9">
        <w:rPr>
          <w:rFonts w:ascii="Arial" w:eastAsia="Calibri" w:hAnsi="Arial" w:cs="Arial"/>
          <w:sz w:val="22"/>
          <w:szCs w:val="22"/>
        </w:rPr>
        <w:t xml:space="preserve">ropology. </w:t>
      </w:r>
      <w:hyperlink r:id="rId21" w:history="1">
        <w:r w:rsidRPr="00F5713E">
          <w:rPr>
            <w:rStyle w:val="Hyperlink"/>
            <w:rFonts w:ascii="Arial" w:eastAsia="Calibri" w:hAnsi="Arial" w:cs="Arial"/>
            <w:sz w:val="22"/>
            <w:szCs w:val="22"/>
          </w:rPr>
          <w:t>https://www.aafs.org/search/standards</w:t>
        </w:r>
      </w:hyperlink>
      <w:r w:rsidRPr="005B42C9">
        <w:rPr>
          <w:rFonts w:ascii="Arial" w:eastAsia="Calibri" w:hAnsi="Arial" w:cs="Arial"/>
          <w:sz w:val="22"/>
          <w:szCs w:val="22"/>
        </w:rPr>
        <w:t xml:space="preserve"> </w:t>
      </w:r>
    </w:p>
    <w:p w14:paraId="27D435A4" w14:textId="5FBAD703"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 xml:space="preserve">ANSI/ASB BPR 010, 1st Ed. (2018). Forensic Anthropology in Disaster Victim Identification: Best Practice Recommendations for the Medicolegal Authority. From the Mass Fatality Management and Disaster Victim Identification (MFM-DVI) Consensus Body. </w:t>
      </w:r>
      <w:hyperlink r:id="rId22" w:history="1">
        <w:r w:rsidRPr="00F5713E">
          <w:rPr>
            <w:rStyle w:val="Hyperlink"/>
            <w:rFonts w:ascii="Arial" w:eastAsia="Calibri" w:hAnsi="Arial" w:cs="Arial"/>
            <w:sz w:val="22"/>
            <w:szCs w:val="22"/>
          </w:rPr>
          <w:t>https://www.aafs.org/search/standards</w:t>
        </w:r>
      </w:hyperlink>
      <w:r w:rsidRPr="005B42C9">
        <w:rPr>
          <w:rFonts w:ascii="Arial" w:eastAsia="Calibri" w:hAnsi="Arial" w:cs="Arial"/>
          <w:sz w:val="22"/>
          <w:szCs w:val="22"/>
        </w:rPr>
        <w:t xml:space="preserve"> </w:t>
      </w:r>
    </w:p>
    <w:p w14:paraId="131A9339"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 xml:space="preserve">Boyd, D.C. (2018) The anatomical basis for fracture repair: Recognition of the healing continuum and its forensic applications to investigations of pediatric and elderly abuse. In Boyd, C.C., and </w:t>
      </w:r>
      <w:proofErr w:type="spellStart"/>
      <w:r w:rsidRPr="005B42C9">
        <w:rPr>
          <w:rFonts w:ascii="Arial" w:eastAsia="Calibri" w:hAnsi="Arial" w:cs="Arial"/>
          <w:sz w:val="22"/>
          <w:szCs w:val="22"/>
        </w:rPr>
        <w:t>D.C.Boyd</w:t>
      </w:r>
      <w:proofErr w:type="spellEnd"/>
      <w:r w:rsidRPr="005B42C9">
        <w:rPr>
          <w:rFonts w:ascii="Arial" w:eastAsia="Calibri" w:hAnsi="Arial" w:cs="Arial"/>
          <w:sz w:val="22"/>
          <w:szCs w:val="22"/>
        </w:rPr>
        <w:t>. (eds). Forensic Anthropology: Theoretical Framework and Scientific Basis. Wiley, Hoboken, NJ. [A10.7]</w:t>
      </w:r>
    </w:p>
    <w:p w14:paraId="7D8E9F7C"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 xml:space="preserve">Fleischman, J. M. (2015) Radiographic identification using midline medical sternotomy wires.  Journal of Forensic Sciences 60(S1):S3-S10. [A10.1] </w:t>
      </w:r>
    </w:p>
    <w:p w14:paraId="63895793"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lastRenderedPageBreak/>
        <w:t xml:space="preserve">Hatch, G. M., F. </w:t>
      </w:r>
      <w:proofErr w:type="spellStart"/>
      <w:r w:rsidRPr="005B42C9">
        <w:rPr>
          <w:rFonts w:ascii="Arial" w:eastAsia="Calibri" w:hAnsi="Arial" w:cs="Arial"/>
          <w:sz w:val="22"/>
          <w:szCs w:val="22"/>
        </w:rPr>
        <w:t>Dedouit</w:t>
      </w:r>
      <w:proofErr w:type="spellEnd"/>
      <w:r w:rsidRPr="005B42C9">
        <w:rPr>
          <w:rFonts w:ascii="Arial" w:eastAsia="Calibri" w:hAnsi="Arial" w:cs="Arial"/>
          <w:sz w:val="22"/>
          <w:szCs w:val="22"/>
        </w:rPr>
        <w:t xml:space="preserve">, A. M. Christensen, M. J. Thali, and T. D. Ruder (2014) </w:t>
      </w:r>
      <w:proofErr w:type="spellStart"/>
      <w:r w:rsidRPr="005B42C9">
        <w:rPr>
          <w:rFonts w:ascii="Arial" w:eastAsia="Calibri" w:hAnsi="Arial" w:cs="Arial"/>
          <w:sz w:val="22"/>
          <w:szCs w:val="22"/>
        </w:rPr>
        <w:t>RADid</w:t>
      </w:r>
      <w:proofErr w:type="spellEnd"/>
      <w:r w:rsidRPr="005B42C9">
        <w:rPr>
          <w:rFonts w:ascii="Arial" w:eastAsia="Calibri" w:hAnsi="Arial" w:cs="Arial"/>
          <w:sz w:val="22"/>
          <w:szCs w:val="22"/>
        </w:rPr>
        <w:t>:  A pictorial review of radiologic identification using postmortem CT.  Journal of Forensic Radiology and Imaging 2:52-59. [A10.1]</w:t>
      </w:r>
    </w:p>
    <w:p w14:paraId="26F1823D"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Latham, K. E., &amp; Miller, J. J. (2019). DNA recovery and analysis from skeletal material in modern forensic contexts. Forensic Sciences Research, 4(1), 51-59. [A10.9, A10.10]</w:t>
      </w:r>
    </w:p>
    <w:p w14:paraId="1A1E1DDA"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Latham, K. E., E. J. Bartelink, and M. Finnegan (2017) New Perspectives in Forensic Human Skeletal Identification. Academic Press, London. [A1.12, A2.1, A2.2, A10.1, A10.2, A10.5, 10.6, A11.1, A11.2]</w:t>
      </w:r>
    </w:p>
    <w:p w14:paraId="106BF6CF"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Meier-Augenstein, W. (2018). Stable Isotope Forensics: Methods and Forensic Applications of Stable Isotope Analysis, 2nd Edition. Wiley, Hoboken, NJ. [A10.5, A10.6]</w:t>
      </w:r>
    </w:p>
    <w:p w14:paraId="18E82909"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 xml:space="preserve">Ouellette, H., and P. </w:t>
      </w:r>
      <w:proofErr w:type="spellStart"/>
      <w:r w:rsidRPr="005B42C9">
        <w:rPr>
          <w:rFonts w:ascii="Arial" w:eastAsia="Calibri" w:hAnsi="Arial" w:cs="Arial"/>
          <w:sz w:val="22"/>
          <w:szCs w:val="22"/>
        </w:rPr>
        <w:t>Tétreault</w:t>
      </w:r>
      <w:proofErr w:type="spellEnd"/>
      <w:r w:rsidRPr="005B42C9">
        <w:rPr>
          <w:rFonts w:ascii="Arial" w:eastAsia="Calibri" w:hAnsi="Arial" w:cs="Arial"/>
          <w:sz w:val="22"/>
          <w:szCs w:val="22"/>
        </w:rPr>
        <w:t xml:space="preserve">. (2008). Clinical Radiology Made Ridiculously Simple. </w:t>
      </w:r>
      <w:proofErr w:type="spellStart"/>
      <w:r w:rsidRPr="005B42C9">
        <w:rPr>
          <w:rFonts w:ascii="Arial" w:eastAsia="Calibri" w:hAnsi="Arial" w:cs="Arial"/>
          <w:sz w:val="22"/>
          <w:szCs w:val="22"/>
        </w:rPr>
        <w:t>MedMaster</w:t>
      </w:r>
      <w:proofErr w:type="spellEnd"/>
      <w:r w:rsidRPr="005B42C9">
        <w:rPr>
          <w:rFonts w:ascii="Arial" w:eastAsia="Calibri" w:hAnsi="Arial" w:cs="Arial"/>
          <w:sz w:val="22"/>
          <w:szCs w:val="22"/>
        </w:rPr>
        <w:t xml:space="preserve"> Inc., Miami, FL. [A10.1, 10.2, 10.3, 10.4]</w:t>
      </w:r>
    </w:p>
    <w:p w14:paraId="1D7AFCD6"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 xml:space="preserve">Ubelaker, D. H., &amp; </w:t>
      </w:r>
      <w:proofErr w:type="spellStart"/>
      <w:r w:rsidRPr="005B42C9">
        <w:rPr>
          <w:rFonts w:ascii="Arial" w:eastAsia="Calibri" w:hAnsi="Arial" w:cs="Arial"/>
          <w:sz w:val="22"/>
          <w:szCs w:val="22"/>
        </w:rPr>
        <w:t>Francescutti</w:t>
      </w:r>
      <w:proofErr w:type="spellEnd"/>
      <w:r w:rsidRPr="005B42C9">
        <w:rPr>
          <w:rFonts w:ascii="Arial" w:eastAsia="Calibri" w:hAnsi="Arial" w:cs="Arial"/>
          <w:sz w:val="22"/>
          <w:szCs w:val="22"/>
        </w:rPr>
        <w:t>, C. (2020). The role of stable isotope analysis in forensic anthropology. Forensic Science and Humanitarian Action: Interacting with the Dead and the Living, 273-284. [A10.5, A10.6]</w:t>
      </w:r>
    </w:p>
    <w:p w14:paraId="0AAFF7A6" w14:textId="3AA6F6EA" w:rsidR="0053016B"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 xml:space="preserve">Ubelaker DH, </w:t>
      </w:r>
      <w:proofErr w:type="spellStart"/>
      <w:r w:rsidRPr="005B42C9">
        <w:rPr>
          <w:rFonts w:ascii="Arial" w:eastAsia="Calibri" w:hAnsi="Arial" w:cs="Arial"/>
          <w:sz w:val="22"/>
          <w:szCs w:val="22"/>
        </w:rPr>
        <w:t>Shamou</w:t>
      </w:r>
      <w:proofErr w:type="spellEnd"/>
      <w:r w:rsidRPr="005B42C9">
        <w:rPr>
          <w:rFonts w:ascii="Arial" w:eastAsia="Calibri" w:hAnsi="Arial" w:cs="Arial"/>
          <w:sz w:val="22"/>
          <w:szCs w:val="22"/>
        </w:rPr>
        <w:t xml:space="preserve"> A, Kunkle A. (2019). Contributions of forensic anthropology to positive scientific identification: a critical review. Forensic Sciences Research 4(1):45-50. [A10.1, A10.8]</w:t>
      </w:r>
    </w:p>
    <w:p w14:paraId="23E05C7B" w14:textId="7E4AEFC5" w:rsidR="0053016B" w:rsidRPr="005B42C9" w:rsidRDefault="0053016B" w:rsidP="002068AC">
      <w:pPr>
        <w:spacing w:after="240"/>
        <w:jc w:val="both"/>
        <w:rPr>
          <w:rFonts w:ascii="Arial" w:eastAsia="Calibri" w:hAnsi="Arial" w:cs="Arial"/>
          <w:sz w:val="22"/>
          <w:szCs w:val="22"/>
        </w:rPr>
      </w:pPr>
      <w:r w:rsidRPr="0053016B">
        <w:rPr>
          <w:rFonts w:ascii="Arial" w:eastAsia="Calibri" w:hAnsi="Arial" w:cs="Arial"/>
          <w:sz w:val="22"/>
          <w:szCs w:val="22"/>
        </w:rPr>
        <w:t xml:space="preserve">Viero, A., </w:t>
      </w:r>
      <w:proofErr w:type="spellStart"/>
      <w:r w:rsidRPr="0053016B">
        <w:rPr>
          <w:rFonts w:ascii="Arial" w:eastAsia="Calibri" w:hAnsi="Arial" w:cs="Arial"/>
          <w:sz w:val="22"/>
          <w:szCs w:val="22"/>
        </w:rPr>
        <w:t>Obertová</w:t>
      </w:r>
      <w:proofErr w:type="spellEnd"/>
      <w:r w:rsidRPr="0053016B">
        <w:rPr>
          <w:rFonts w:ascii="Arial" w:eastAsia="Calibri" w:hAnsi="Arial" w:cs="Arial"/>
          <w:sz w:val="22"/>
          <w:szCs w:val="22"/>
        </w:rPr>
        <w:t xml:space="preserve">, Z., Cappella, A., Messina, C., </w:t>
      </w:r>
      <w:proofErr w:type="spellStart"/>
      <w:r w:rsidRPr="0053016B">
        <w:rPr>
          <w:rFonts w:ascii="Arial" w:eastAsia="Calibri" w:hAnsi="Arial" w:cs="Arial"/>
          <w:sz w:val="22"/>
          <w:szCs w:val="22"/>
        </w:rPr>
        <w:t>Sconfienza</w:t>
      </w:r>
      <w:proofErr w:type="spellEnd"/>
      <w:r w:rsidRPr="0053016B">
        <w:rPr>
          <w:rFonts w:ascii="Arial" w:eastAsia="Calibri" w:hAnsi="Arial" w:cs="Arial"/>
          <w:sz w:val="22"/>
          <w:szCs w:val="22"/>
        </w:rPr>
        <w:t xml:space="preserve">, L. M., </w:t>
      </w:r>
      <w:proofErr w:type="spellStart"/>
      <w:r w:rsidRPr="0053016B">
        <w:rPr>
          <w:rFonts w:ascii="Arial" w:eastAsia="Calibri" w:hAnsi="Arial" w:cs="Arial"/>
          <w:sz w:val="22"/>
          <w:szCs w:val="22"/>
        </w:rPr>
        <w:t>Sardanelli</w:t>
      </w:r>
      <w:proofErr w:type="spellEnd"/>
      <w:r w:rsidRPr="0053016B">
        <w:rPr>
          <w:rFonts w:ascii="Arial" w:eastAsia="Calibri" w:hAnsi="Arial" w:cs="Arial"/>
          <w:sz w:val="22"/>
          <w:szCs w:val="22"/>
        </w:rPr>
        <w:t>, F., ... &amp; Cattaneo, C. (2021). The problem of dating fractures: A retrospective observational study of radiologic features of fracture healing in adults. Forensic Science International, </w:t>
      </w:r>
      <w:r w:rsidRPr="0053016B">
        <w:rPr>
          <w:rFonts w:ascii="Arial" w:eastAsia="Calibri" w:hAnsi="Arial" w:cs="Arial"/>
          <w:i/>
          <w:iCs/>
          <w:sz w:val="22"/>
          <w:szCs w:val="22"/>
        </w:rPr>
        <w:t>329</w:t>
      </w:r>
      <w:r w:rsidRPr="0053016B">
        <w:rPr>
          <w:rFonts w:ascii="Arial" w:eastAsia="Calibri" w:hAnsi="Arial" w:cs="Arial"/>
          <w:sz w:val="22"/>
          <w:szCs w:val="22"/>
        </w:rPr>
        <w:t>, 111058.</w:t>
      </w:r>
      <w:r w:rsidR="002F6248">
        <w:rPr>
          <w:rFonts w:ascii="Arial" w:eastAsia="Calibri" w:hAnsi="Arial" w:cs="Arial"/>
          <w:sz w:val="22"/>
          <w:szCs w:val="22"/>
        </w:rPr>
        <w:t xml:space="preserve"> [A10.7]</w:t>
      </w:r>
    </w:p>
    <w:p w14:paraId="190C96A9"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Wilson, R. J., J. D. Bethard, and E. A. DiGangi (2011) The use of orthopedic surgical devices for forensic identification.  Journal of Forensic Sciences 56:460-469. [A10.1]</w:t>
      </w:r>
    </w:p>
    <w:p w14:paraId="12FC8A58" w14:textId="77777777" w:rsidR="005B42C9" w:rsidRPr="005B42C9" w:rsidRDefault="005B42C9" w:rsidP="002068AC">
      <w:pPr>
        <w:spacing w:after="240"/>
        <w:jc w:val="both"/>
        <w:rPr>
          <w:rFonts w:ascii="Arial" w:eastAsia="Calibri" w:hAnsi="Arial" w:cs="Arial"/>
          <w:sz w:val="22"/>
          <w:szCs w:val="22"/>
        </w:rPr>
      </w:pPr>
    </w:p>
    <w:p w14:paraId="7D54073D" w14:textId="77777777" w:rsidR="005B42C9" w:rsidRPr="005B42C9" w:rsidRDefault="005B42C9" w:rsidP="002068AC">
      <w:pPr>
        <w:spacing w:after="240"/>
        <w:jc w:val="both"/>
        <w:rPr>
          <w:rFonts w:ascii="Arial" w:eastAsia="Calibri" w:hAnsi="Arial" w:cs="Arial"/>
          <w:sz w:val="22"/>
          <w:szCs w:val="22"/>
        </w:rPr>
      </w:pPr>
    </w:p>
    <w:p w14:paraId="1BA6B4FC" w14:textId="77777777" w:rsidR="005B42C9" w:rsidRPr="005B42C9" w:rsidRDefault="005B42C9" w:rsidP="002068AC">
      <w:pPr>
        <w:jc w:val="both"/>
        <w:rPr>
          <w:rFonts w:ascii="Arial" w:eastAsia="Calibri" w:hAnsi="Arial" w:cs="Arial"/>
          <w:sz w:val="22"/>
          <w:szCs w:val="22"/>
        </w:rPr>
      </w:pPr>
    </w:p>
    <w:p w14:paraId="6579EAE8" w14:textId="77777777" w:rsidR="005B42C9" w:rsidRPr="005B42C9" w:rsidRDefault="005B42C9" w:rsidP="002068AC">
      <w:pPr>
        <w:jc w:val="both"/>
        <w:rPr>
          <w:rFonts w:ascii="Arial" w:eastAsia="Calibri" w:hAnsi="Arial" w:cs="Arial"/>
          <w:sz w:val="22"/>
          <w:szCs w:val="22"/>
        </w:rPr>
      </w:pPr>
    </w:p>
    <w:p w14:paraId="1135AB70" w14:textId="77777777" w:rsidR="005B42C9" w:rsidRPr="005B42C9" w:rsidRDefault="005B42C9" w:rsidP="002068AC">
      <w:pPr>
        <w:jc w:val="both"/>
        <w:rPr>
          <w:rFonts w:ascii="Arial" w:eastAsia="Calibri" w:hAnsi="Arial" w:cs="Arial"/>
          <w:sz w:val="22"/>
          <w:szCs w:val="22"/>
        </w:rPr>
      </w:pPr>
    </w:p>
    <w:p w14:paraId="52FEA368" w14:textId="77777777" w:rsidR="005B42C9" w:rsidRPr="005B42C9" w:rsidRDefault="005B42C9" w:rsidP="002068AC">
      <w:pPr>
        <w:jc w:val="both"/>
        <w:rPr>
          <w:rFonts w:ascii="Arial" w:eastAsia="Calibri" w:hAnsi="Arial" w:cs="Arial"/>
          <w:sz w:val="22"/>
          <w:szCs w:val="22"/>
        </w:rPr>
      </w:pPr>
    </w:p>
    <w:p w14:paraId="0DCF9DB5" w14:textId="77777777" w:rsidR="005B42C9" w:rsidRPr="005B42C9" w:rsidRDefault="005B42C9" w:rsidP="002068AC">
      <w:pPr>
        <w:jc w:val="both"/>
        <w:rPr>
          <w:rFonts w:ascii="Arial" w:eastAsia="Calibri" w:hAnsi="Arial" w:cs="Arial"/>
          <w:sz w:val="22"/>
          <w:szCs w:val="22"/>
        </w:rPr>
      </w:pPr>
    </w:p>
    <w:p w14:paraId="70E1E2D2" w14:textId="77777777" w:rsidR="005B42C9" w:rsidRPr="005B42C9" w:rsidRDefault="005B42C9" w:rsidP="002068AC">
      <w:pPr>
        <w:jc w:val="both"/>
        <w:rPr>
          <w:rFonts w:ascii="Arial" w:eastAsia="Calibri" w:hAnsi="Arial" w:cs="Arial"/>
          <w:sz w:val="22"/>
          <w:szCs w:val="22"/>
        </w:rPr>
      </w:pPr>
    </w:p>
    <w:p w14:paraId="24C789BA" w14:textId="77777777" w:rsidR="005B42C9" w:rsidRPr="005B42C9" w:rsidRDefault="005B42C9" w:rsidP="002068AC">
      <w:pPr>
        <w:jc w:val="both"/>
        <w:rPr>
          <w:rFonts w:ascii="Arial" w:eastAsia="Calibri" w:hAnsi="Arial" w:cs="Arial"/>
          <w:sz w:val="22"/>
          <w:szCs w:val="22"/>
        </w:rPr>
      </w:pPr>
    </w:p>
    <w:p w14:paraId="15FB6CBB" w14:textId="77777777" w:rsidR="005B42C9" w:rsidRPr="005B42C9" w:rsidRDefault="005B42C9" w:rsidP="002068AC">
      <w:pPr>
        <w:jc w:val="both"/>
        <w:rPr>
          <w:rFonts w:ascii="Arial" w:eastAsia="Calibri" w:hAnsi="Arial" w:cs="Arial"/>
          <w:sz w:val="22"/>
          <w:szCs w:val="22"/>
        </w:rPr>
      </w:pPr>
    </w:p>
    <w:p w14:paraId="6986F256" w14:textId="77777777" w:rsidR="005B42C9" w:rsidRPr="005B42C9" w:rsidRDefault="005B42C9" w:rsidP="002068AC">
      <w:pPr>
        <w:jc w:val="both"/>
        <w:rPr>
          <w:rFonts w:ascii="Arial" w:eastAsia="Calibri" w:hAnsi="Arial" w:cs="Arial"/>
          <w:sz w:val="22"/>
          <w:szCs w:val="22"/>
        </w:rPr>
      </w:pPr>
    </w:p>
    <w:p w14:paraId="790BB41E" w14:textId="77777777" w:rsidR="005B42C9" w:rsidRPr="005B42C9" w:rsidRDefault="005B42C9" w:rsidP="002068AC">
      <w:pPr>
        <w:jc w:val="both"/>
        <w:rPr>
          <w:rFonts w:ascii="Arial" w:eastAsia="Calibri" w:hAnsi="Arial" w:cs="Arial"/>
          <w:sz w:val="22"/>
          <w:szCs w:val="22"/>
        </w:rPr>
      </w:pPr>
    </w:p>
    <w:p w14:paraId="5109CBCC" w14:textId="77777777" w:rsidR="005B42C9" w:rsidRPr="005B42C9" w:rsidRDefault="005B42C9" w:rsidP="002068AC">
      <w:pPr>
        <w:jc w:val="both"/>
        <w:rPr>
          <w:rFonts w:ascii="Arial" w:eastAsia="Calibri" w:hAnsi="Arial" w:cs="Arial"/>
          <w:sz w:val="22"/>
          <w:szCs w:val="22"/>
        </w:rPr>
      </w:pPr>
    </w:p>
    <w:p w14:paraId="7FDC3655" w14:textId="77777777" w:rsidR="005B42C9" w:rsidRPr="005B42C9" w:rsidRDefault="005B42C9" w:rsidP="002068AC">
      <w:pPr>
        <w:jc w:val="both"/>
        <w:rPr>
          <w:rFonts w:ascii="Arial" w:eastAsia="Calibri" w:hAnsi="Arial" w:cs="Arial"/>
          <w:sz w:val="22"/>
          <w:szCs w:val="22"/>
        </w:rPr>
      </w:pPr>
    </w:p>
    <w:p w14:paraId="3E1D6A4B" w14:textId="77777777" w:rsidR="005B42C9" w:rsidRPr="005B42C9" w:rsidRDefault="005B42C9" w:rsidP="002068AC">
      <w:pPr>
        <w:jc w:val="both"/>
        <w:rPr>
          <w:rFonts w:ascii="Arial" w:eastAsia="Calibri" w:hAnsi="Arial" w:cs="Arial"/>
          <w:sz w:val="22"/>
          <w:szCs w:val="22"/>
        </w:rPr>
      </w:pPr>
    </w:p>
    <w:p w14:paraId="09838C33" w14:textId="77777777" w:rsidR="005B42C9" w:rsidRPr="005B42C9" w:rsidRDefault="005B42C9" w:rsidP="002068AC">
      <w:pPr>
        <w:jc w:val="both"/>
        <w:rPr>
          <w:rFonts w:ascii="Arial" w:eastAsia="Calibri" w:hAnsi="Arial" w:cs="Arial"/>
          <w:sz w:val="22"/>
          <w:szCs w:val="22"/>
        </w:rPr>
      </w:pPr>
    </w:p>
    <w:p w14:paraId="16A648E9" w14:textId="77777777" w:rsidR="005B42C9" w:rsidRPr="005B42C9" w:rsidRDefault="005B42C9" w:rsidP="002068AC">
      <w:pPr>
        <w:jc w:val="both"/>
        <w:rPr>
          <w:rFonts w:ascii="Arial" w:eastAsia="Calibri" w:hAnsi="Arial" w:cs="Arial"/>
          <w:sz w:val="22"/>
          <w:szCs w:val="22"/>
        </w:rPr>
      </w:pPr>
    </w:p>
    <w:p w14:paraId="0447D7F5" w14:textId="77777777" w:rsidR="005B42C9" w:rsidRPr="005B42C9" w:rsidRDefault="005B42C9" w:rsidP="002068AC">
      <w:pPr>
        <w:jc w:val="both"/>
        <w:rPr>
          <w:rFonts w:ascii="Arial" w:eastAsia="Calibri" w:hAnsi="Arial" w:cs="Arial"/>
          <w:sz w:val="22"/>
          <w:szCs w:val="22"/>
        </w:rPr>
      </w:pPr>
    </w:p>
    <w:p w14:paraId="4EB7E526" w14:textId="77777777" w:rsidR="000E4588" w:rsidRPr="005B42C9" w:rsidRDefault="000E4588" w:rsidP="002068AC">
      <w:pPr>
        <w:jc w:val="both"/>
        <w:rPr>
          <w:rFonts w:ascii="Arial" w:eastAsia="Calibri" w:hAnsi="Arial" w:cs="Arial"/>
          <w:sz w:val="22"/>
          <w:szCs w:val="22"/>
        </w:rPr>
      </w:pPr>
    </w:p>
    <w:p w14:paraId="648BC0D3" w14:textId="77777777" w:rsidR="005B42C9" w:rsidRDefault="005B42C9" w:rsidP="002068AC">
      <w:pPr>
        <w:jc w:val="both"/>
        <w:rPr>
          <w:rFonts w:ascii="Arial" w:eastAsia="Calibri" w:hAnsi="Arial" w:cs="Arial"/>
          <w:b/>
          <w:bCs/>
        </w:rPr>
      </w:pPr>
      <w:r w:rsidRPr="000E4588">
        <w:rPr>
          <w:rFonts w:ascii="Arial" w:eastAsia="Calibri" w:hAnsi="Arial" w:cs="Arial"/>
          <w:b/>
          <w:bCs/>
        </w:rPr>
        <w:lastRenderedPageBreak/>
        <w:t xml:space="preserve">11. Statistics </w:t>
      </w:r>
    </w:p>
    <w:p w14:paraId="1AFF16DD" w14:textId="77777777" w:rsidR="00BB2367" w:rsidRPr="000E4588" w:rsidRDefault="00BB2367" w:rsidP="002068AC">
      <w:pPr>
        <w:jc w:val="both"/>
        <w:rPr>
          <w:rFonts w:ascii="Arial" w:eastAsia="Calibri" w:hAnsi="Arial" w:cs="Arial"/>
          <w:b/>
          <w:bCs/>
        </w:rPr>
      </w:pPr>
    </w:p>
    <w:tbl>
      <w:tblPr>
        <w:tblW w:w="0" w:type="auto"/>
        <w:tblCellMar>
          <w:top w:w="15" w:type="dxa"/>
          <w:left w:w="15" w:type="dxa"/>
          <w:bottom w:w="15" w:type="dxa"/>
          <w:right w:w="15" w:type="dxa"/>
        </w:tblCellMar>
        <w:tblLook w:val="04A0" w:firstRow="1" w:lastRow="0" w:firstColumn="1" w:lastColumn="0" w:noHBand="0" w:noVBand="1"/>
      </w:tblPr>
      <w:tblGrid>
        <w:gridCol w:w="837"/>
        <w:gridCol w:w="8503"/>
      </w:tblGrid>
      <w:tr w:rsidR="00BB2367" w:rsidRPr="00BB2367" w14:paraId="0DC2E6E2" w14:textId="77777777" w:rsidTr="00BB2367">
        <w:trPr>
          <w:trHeight w:val="96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7ABF14E" w14:textId="77777777" w:rsidR="00BB2367" w:rsidRPr="00BB2367" w:rsidRDefault="00BB2367" w:rsidP="002068AC">
            <w:pPr>
              <w:jc w:val="both"/>
              <w:rPr>
                <w:rFonts w:ascii="Arial" w:eastAsia="Calibri" w:hAnsi="Arial" w:cs="Arial"/>
                <w:sz w:val="22"/>
                <w:szCs w:val="22"/>
              </w:rPr>
            </w:pPr>
            <w:r w:rsidRPr="00BB2367">
              <w:rPr>
                <w:rFonts w:ascii="Arial" w:eastAsia="Calibri" w:hAnsi="Arial" w:cs="Arial"/>
                <w:sz w:val="22"/>
                <w:szCs w:val="22"/>
              </w:rPr>
              <w:t>A11.1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551992" w14:textId="38BD1121" w:rsidR="00BB2367" w:rsidRPr="00BB2367" w:rsidRDefault="00BB2367" w:rsidP="002068AC">
            <w:pPr>
              <w:jc w:val="both"/>
              <w:rPr>
                <w:rFonts w:ascii="Arial" w:eastAsia="Calibri" w:hAnsi="Arial" w:cs="Arial"/>
                <w:sz w:val="22"/>
                <w:szCs w:val="22"/>
              </w:rPr>
            </w:pPr>
            <w:r w:rsidRPr="00BB2367">
              <w:rPr>
                <w:rFonts w:ascii="Arial" w:eastAsia="Calibri" w:hAnsi="Arial" w:cs="Arial"/>
                <w:sz w:val="22"/>
                <w:szCs w:val="22"/>
              </w:rPr>
              <w:t>Understand foundational concepts in statistics, including standard terminology (e.g., range, interval, standard deviation, mean), types of data (e.g., ordinal, continuous), and basic analyses (e.g., univariate vs. multivariate, discriminant function analysis, linear regression, etc.).</w:t>
            </w:r>
          </w:p>
        </w:tc>
      </w:tr>
      <w:tr w:rsidR="00BB2367" w:rsidRPr="00BB2367" w14:paraId="245A413F" w14:textId="77777777" w:rsidTr="00BB2367">
        <w:trPr>
          <w:trHeight w:val="79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2034B6" w14:textId="77777777" w:rsidR="00BB2367" w:rsidRPr="00BB2367" w:rsidRDefault="00BB2367" w:rsidP="002068AC">
            <w:pPr>
              <w:jc w:val="both"/>
              <w:rPr>
                <w:rFonts w:ascii="Arial" w:eastAsia="Calibri" w:hAnsi="Arial" w:cs="Arial"/>
                <w:sz w:val="22"/>
                <w:szCs w:val="22"/>
              </w:rPr>
            </w:pPr>
            <w:r w:rsidRPr="00BB2367">
              <w:rPr>
                <w:rFonts w:ascii="Arial" w:eastAsia="Calibri" w:hAnsi="Arial" w:cs="Arial"/>
                <w:sz w:val="22"/>
                <w:szCs w:val="22"/>
              </w:rPr>
              <w:t>A11.2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92DDF8" w14:textId="43EEBC5D" w:rsidR="00BB2367" w:rsidRPr="00BB2367" w:rsidRDefault="00BB2367" w:rsidP="002068AC">
            <w:pPr>
              <w:jc w:val="both"/>
              <w:rPr>
                <w:rFonts w:ascii="Arial" w:eastAsia="Calibri" w:hAnsi="Arial" w:cs="Arial"/>
                <w:sz w:val="22"/>
                <w:szCs w:val="22"/>
              </w:rPr>
            </w:pPr>
            <w:r w:rsidRPr="00BB2367">
              <w:rPr>
                <w:rFonts w:ascii="Arial" w:eastAsia="Calibri" w:hAnsi="Arial" w:cs="Arial"/>
                <w:sz w:val="22"/>
                <w:szCs w:val="22"/>
              </w:rPr>
              <w:t>Report appropriate statistical information with method results (e.g., intervals, accuracy, probability,</w:t>
            </w:r>
            <w:r>
              <w:rPr>
                <w:rFonts w:ascii="Arial" w:eastAsia="Calibri" w:hAnsi="Arial" w:cs="Arial"/>
                <w:sz w:val="22"/>
                <w:szCs w:val="22"/>
              </w:rPr>
              <w:t xml:space="preserve"> </w:t>
            </w:r>
            <w:r w:rsidRPr="00BB2367">
              <w:rPr>
                <w:rFonts w:ascii="Arial" w:eastAsia="Calibri" w:hAnsi="Arial" w:cs="Arial"/>
                <w:sz w:val="22"/>
                <w:szCs w:val="22"/>
              </w:rPr>
              <w:t>confidence level, a priori).</w:t>
            </w:r>
          </w:p>
        </w:tc>
      </w:tr>
    </w:tbl>
    <w:p w14:paraId="2D472D75" w14:textId="77777777" w:rsidR="005B42C9" w:rsidRPr="005B42C9" w:rsidRDefault="005B42C9" w:rsidP="002068AC">
      <w:pPr>
        <w:jc w:val="both"/>
        <w:rPr>
          <w:rFonts w:ascii="Arial" w:eastAsia="Calibri" w:hAnsi="Arial" w:cs="Arial"/>
          <w:sz w:val="22"/>
          <w:szCs w:val="22"/>
        </w:rPr>
      </w:pPr>
    </w:p>
    <w:p w14:paraId="767D29F3" w14:textId="77777777" w:rsidR="005B42C9" w:rsidRPr="005B42C9" w:rsidRDefault="005B42C9" w:rsidP="002068AC">
      <w:pPr>
        <w:jc w:val="both"/>
        <w:rPr>
          <w:rFonts w:ascii="Arial" w:eastAsia="Calibri" w:hAnsi="Arial" w:cs="Arial"/>
          <w:sz w:val="22"/>
          <w:szCs w:val="22"/>
        </w:rPr>
      </w:pPr>
    </w:p>
    <w:p w14:paraId="3ABF52B4" w14:textId="77777777" w:rsidR="005B42C9" w:rsidRPr="00BB2367" w:rsidRDefault="005B42C9" w:rsidP="002068AC">
      <w:pPr>
        <w:jc w:val="both"/>
        <w:rPr>
          <w:rFonts w:ascii="Arial" w:eastAsia="Calibri" w:hAnsi="Arial" w:cs="Arial"/>
          <w:b/>
          <w:bCs/>
          <w:sz w:val="22"/>
          <w:szCs w:val="22"/>
        </w:rPr>
      </w:pPr>
      <w:r w:rsidRPr="00BB2367">
        <w:rPr>
          <w:rFonts w:ascii="Arial" w:eastAsia="Calibri" w:hAnsi="Arial" w:cs="Arial"/>
          <w:b/>
          <w:bCs/>
          <w:sz w:val="22"/>
          <w:szCs w:val="22"/>
        </w:rPr>
        <w:t xml:space="preserve">References </w:t>
      </w:r>
    </w:p>
    <w:p w14:paraId="58D48DF1"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Christensen, A. M., C. M. Crowder, S. D. Ousley, and M. M. Houck (2014) Error and its meaning in forensic science.  Journal of Forensic Sciences 59:123-126. [A11.1, A11.2]</w:t>
      </w:r>
    </w:p>
    <w:p w14:paraId="6D564C7C" w14:textId="77777777" w:rsidR="005B42C9" w:rsidRPr="005B42C9" w:rsidRDefault="005B42C9" w:rsidP="002068AC">
      <w:pPr>
        <w:spacing w:after="240"/>
        <w:jc w:val="both"/>
        <w:rPr>
          <w:rFonts w:ascii="Arial" w:eastAsia="Calibri" w:hAnsi="Arial" w:cs="Arial"/>
          <w:sz w:val="22"/>
          <w:szCs w:val="22"/>
        </w:rPr>
      </w:pPr>
      <w:proofErr w:type="spellStart"/>
      <w:r w:rsidRPr="005B42C9">
        <w:rPr>
          <w:rFonts w:ascii="Arial" w:eastAsia="Calibri" w:hAnsi="Arial" w:cs="Arial"/>
          <w:sz w:val="22"/>
          <w:szCs w:val="22"/>
        </w:rPr>
        <w:t>Obertová</w:t>
      </w:r>
      <w:proofErr w:type="spellEnd"/>
      <w:r w:rsidRPr="005B42C9">
        <w:rPr>
          <w:rFonts w:ascii="Arial" w:eastAsia="Calibri" w:hAnsi="Arial" w:cs="Arial"/>
          <w:sz w:val="22"/>
          <w:szCs w:val="22"/>
        </w:rPr>
        <w:t>, Z., Stewart, A., &amp; Cattaneo, C. (Eds.). (2020). Statistics and probability in forensic anthropology. Academic Press. [A11.1, A11.2]</w:t>
      </w:r>
    </w:p>
    <w:p w14:paraId="22C12D81"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Ousley, S. D. and R. L. Jantz (2012) Fordisc 3 and statistical methods for estimating sex and ancestry.  In A Companion to Forensic Anthropology, ed. by D. C. Dirkmaat, pp. 311-329.  Wiley-Blackwell, Chichester, UK.  [A2.2, A11.1, A11,2]</w:t>
      </w:r>
    </w:p>
    <w:p w14:paraId="67FB7C76" w14:textId="5621985C"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 xml:space="preserve">Scientific Working Group for Forensic Anthropology (SWGANTH): Statistical Methods, Revision 0. (2012) </w:t>
      </w:r>
      <w:hyperlink r:id="rId23" w:history="1">
        <w:r w:rsidRPr="00F5713E">
          <w:rPr>
            <w:rStyle w:val="Hyperlink"/>
            <w:rFonts w:ascii="Arial" w:eastAsia="Calibri" w:hAnsi="Arial" w:cs="Arial"/>
            <w:sz w:val="22"/>
            <w:szCs w:val="22"/>
          </w:rPr>
          <w:t>https://www.nist.gov/osac/subcommittees/forensic-anthropology</w:t>
        </w:r>
      </w:hyperlink>
      <w:r w:rsidRPr="005B42C9">
        <w:rPr>
          <w:rFonts w:ascii="Arial" w:eastAsia="Calibri" w:hAnsi="Arial" w:cs="Arial"/>
          <w:sz w:val="22"/>
          <w:szCs w:val="22"/>
        </w:rPr>
        <w:t xml:space="preserve"> [A11.1, A11.2]</w:t>
      </w:r>
    </w:p>
    <w:p w14:paraId="5D4D92AD" w14:textId="77777777" w:rsidR="005B42C9" w:rsidRDefault="005B42C9" w:rsidP="002068AC">
      <w:pPr>
        <w:jc w:val="both"/>
        <w:rPr>
          <w:rFonts w:ascii="Arial" w:eastAsia="Calibri" w:hAnsi="Arial" w:cs="Arial"/>
          <w:b/>
          <w:bCs/>
        </w:rPr>
      </w:pPr>
    </w:p>
    <w:p w14:paraId="555F5EC4" w14:textId="77777777" w:rsidR="00955A45" w:rsidRDefault="00955A45" w:rsidP="002068AC">
      <w:pPr>
        <w:jc w:val="both"/>
        <w:rPr>
          <w:rFonts w:ascii="Arial" w:eastAsia="Calibri" w:hAnsi="Arial" w:cs="Arial"/>
          <w:b/>
          <w:bCs/>
        </w:rPr>
      </w:pPr>
    </w:p>
    <w:p w14:paraId="4F7B422B" w14:textId="77777777" w:rsidR="00955A45" w:rsidRDefault="00955A45" w:rsidP="002068AC">
      <w:pPr>
        <w:jc w:val="both"/>
        <w:rPr>
          <w:rFonts w:ascii="Arial" w:eastAsia="Calibri" w:hAnsi="Arial" w:cs="Arial"/>
          <w:b/>
          <w:bCs/>
        </w:rPr>
      </w:pPr>
    </w:p>
    <w:p w14:paraId="7505830D" w14:textId="77777777" w:rsidR="00955A45" w:rsidRDefault="00955A45" w:rsidP="002068AC">
      <w:pPr>
        <w:jc w:val="both"/>
        <w:rPr>
          <w:rFonts w:ascii="Arial" w:eastAsia="Calibri" w:hAnsi="Arial" w:cs="Arial"/>
          <w:b/>
          <w:bCs/>
        </w:rPr>
      </w:pPr>
    </w:p>
    <w:p w14:paraId="5755DDB0" w14:textId="77777777" w:rsidR="00955A45" w:rsidRDefault="00955A45" w:rsidP="002068AC">
      <w:pPr>
        <w:jc w:val="both"/>
        <w:rPr>
          <w:rFonts w:ascii="Arial" w:eastAsia="Calibri" w:hAnsi="Arial" w:cs="Arial"/>
          <w:b/>
          <w:bCs/>
        </w:rPr>
      </w:pPr>
    </w:p>
    <w:p w14:paraId="27877A88" w14:textId="77777777" w:rsidR="00955A45" w:rsidRDefault="00955A45" w:rsidP="002068AC">
      <w:pPr>
        <w:jc w:val="both"/>
        <w:rPr>
          <w:rFonts w:ascii="Arial" w:eastAsia="Calibri" w:hAnsi="Arial" w:cs="Arial"/>
          <w:b/>
          <w:bCs/>
        </w:rPr>
      </w:pPr>
    </w:p>
    <w:p w14:paraId="76CC190B" w14:textId="77777777" w:rsidR="00955A45" w:rsidRDefault="00955A45" w:rsidP="002068AC">
      <w:pPr>
        <w:jc w:val="both"/>
        <w:rPr>
          <w:rFonts w:ascii="Arial" w:eastAsia="Calibri" w:hAnsi="Arial" w:cs="Arial"/>
          <w:b/>
          <w:bCs/>
        </w:rPr>
      </w:pPr>
    </w:p>
    <w:p w14:paraId="34C2C7AD" w14:textId="77777777" w:rsidR="00955A45" w:rsidRDefault="00955A45" w:rsidP="002068AC">
      <w:pPr>
        <w:jc w:val="both"/>
        <w:rPr>
          <w:rFonts w:ascii="Arial" w:eastAsia="Calibri" w:hAnsi="Arial" w:cs="Arial"/>
          <w:b/>
          <w:bCs/>
        </w:rPr>
      </w:pPr>
    </w:p>
    <w:p w14:paraId="6B01CF8C" w14:textId="77777777" w:rsidR="00955A45" w:rsidRDefault="00955A45" w:rsidP="002068AC">
      <w:pPr>
        <w:jc w:val="both"/>
        <w:rPr>
          <w:rFonts w:ascii="Arial" w:eastAsia="Calibri" w:hAnsi="Arial" w:cs="Arial"/>
          <w:b/>
          <w:bCs/>
        </w:rPr>
      </w:pPr>
    </w:p>
    <w:p w14:paraId="4D4109A0" w14:textId="77777777" w:rsidR="00955A45" w:rsidRDefault="00955A45" w:rsidP="002068AC">
      <w:pPr>
        <w:jc w:val="both"/>
        <w:rPr>
          <w:rFonts w:ascii="Arial" w:eastAsia="Calibri" w:hAnsi="Arial" w:cs="Arial"/>
          <w:b/>
          <w:bCs/>
        </w:rPr>
      </w:pPr>
    </w:p>
    <w:p w14:paraId="51B92BFB" w14:textId="77777777" w:rsidR="00955A45" w:rsidRDefault="00955A45" w:rsidP="002068AC">
      <w:pPr>
        <w:jc w:val="both"/>
        <w:rPr>
          <w:rFonts w:ascii="Arial" w:eastAsia="Calibri" w:hAnsi="Arial" w:cs="Arial"/>
          <w:b/>
          <w:bCs/>
        </w:rPr>
      </w:pPr>
    </w:p>
    <w:p w14:paraId="6D1222A7" w14:textId="77777777" w:rsidR="00955A45" w:rsidRDefault="00955A45" w:rsidP="002068AC">
      <w:pPr>
        <w:jc w:val="both"/>
        <w:rPr>
          <w:rFonts w:ascii="Arial" w:eastAsia="Calibri" w:hAnsi="Arial" w:cs="Arial"/>
          <w:b/>
          <w:bCs/>
        </w:rPr>
      </w:pPr>
    </w:p>
    <w:p w14:paraId="7F0E55CA" w14:textId="77777777" w:rsidR="00955A45" w:rsidRDefault="00955A45" w:rsidP="002068AC">
      <w:pPr>
        <w:jc w:val="both"/>
        <w:rPr>
          <w:rFonts w:ascii="Arial" w:eastAsia="Calibri" w:hAnsi="Arial" w:cs="Arial"/>
          <w:b/>
          <w:bCs/>
        </w:rPr>
      </w:pPr>
    </w:p>
    <w:p w14:paraId="2899948D" w14:textId="77777777" w:rsidR="00955A45" w:rsidRDefault="00955A45" w:rsidP="002068AC">
      <w:pPr>
        <w:jc w:val="both"/>
        <w:rPr>
          <w:rFonts w:ascii="Arial" w:eastAsia="Calibri" w:hAnsi="Arial" w:cs="Arial"/>
          <w:b/>
          <w:bCs/>
        </w:rPr>
      </w:pPr>
    </w:p>
    <w:p w14:paraId="2D4F5F58" w14:textId="77777777" w:rsidR="00955A45" w:rsidRDefault="00955A45" w:rsidP="002068AC">
      <w:pPr>
        <w:jc w:val="both"/>
        <w:rPr>
          <w:rFonts w:ascii="Arial" w:eastAsia="Calibri" w:hAnsi="Arial" w:cs="Arial"/>
          <w:b/>
          <w:bCs/>
        </w:rPr>
      </w:pPr>
    </w:p>
    <w:p w14:paraId="5C242D1F" w14:textId="77777777" w:rsidR="00955A45" w:rsidRDefault="00955A45" w:rsidP="002068AC">
      <w:pPr>
        <w:jc w:val="both"/>
        <w:rPr>
          <w:rFonts w:ascii="Arial" w:eastAsia="Calibri" w:hAnsi="Arial" w:cs="Arial"/>
          <w:b/>
          <w:bCs/>
        </w:rPr>
      </w:pPr>
    </w:p>
    <w:p w14:paraId="2E781A7C" w14:textId="77777777" w:rsidR="00955A45" w:rsidRDefault="00955A45" w:rsidP="002068AC">
      <w:pPr>
        <w:jc w:val="both"/>
        <w:rPr>
          <w:rFonts w:ascii="Arial" w:eastAsia="Calibri" w:hAnsi="Arial" w:cs="Arial"/>
          <w:b/>
          <w:bCs/>
        </w:rPr>
      </w:pPr>
    </w:p>
    <w:p w14:paraId="29392682" w14:textId="77777777" w:rsidR="00955A45" w:rsidRDefault="00955A45" w:rsidP="002068AC">
      <w:pPr>
        <w:jc w:val="both"/>
        <w:rPr>
          <w:rFonts w:ascii="Arial" w:eastAsia="Calibri" w:hAnsi="Arial" w:cs="Arial"/>
          <w:b/>
          <w:bCs/>
        </w:rPr>
      </w:pPr>
    </w:p>
    <w:p w14:paraId="268ACC33" w14:textId="77777777" w:rsidR="00955A45" w:rsidRDefault="00955A45" w:rsidP="002068AC">
      <w:pPr>
        <w:jc w:val="both"/>
        <w:rPr>
          <w:rFonts w:ascii="Arial" w:eastAsia="Calibri" w:hAnsi="Arial" w:cs="Arial"/>
          <w:b/>
          <w:bCs/>
        </w:rPr>
      </w:pPr>
    </w:p>
    <w:p w14:paraId="6BA31C25" w14:textId="77777777" w:rsidR="00955A45" w:rsidRDefault="00955A45" w:rsidP="002068AC">
      <w:pPr>
        <w:jc w:val="both"/>
        <w:rPr>
          <w:rFonts w:ascii="Arial" w:eastAsia="Calibri" w:hAnsi="Arial" w:cs="Arial"/>
          <w:b/>
          <w:bCs/>
        </w:rPr>
      </w:pPr>
    </w:p>
    <w:p w14:paraId="03CE0BDD" w14:textId="77777777" w:rsidR="00955A45" w:rsidRDefault="00955A45" w:rsidP="002068AC">
      <w:pPr>
        <w:jc w:val="both"/>
        <w:rPr>
          <w:rFonts w:ascii="Arial" w:eastAsia="Calibri" w:hAnsi="Arial" w:cs="Arial"/>
          <w:b/>
          <w:bCs/>
        </w:rPr>
      </w:pPr>
    </w:p>
    <w:p w14:paraId="1A6C7B7A" w14:textId="77777777" w:rsidR="00955A45" w:rsidRDefault="00955A45" w:rsidP="002068AC">
      <w:pPr>
        <w:jc w:val="both"/>
        <w:rPr>
          <w:rFonts w:ascii="Arial" w:eastAsia="Calibri" w:hAnsi="Arial" w:cs="Arial"/>
          <w:b/>
          <w:bCs/>
        </w:rPr>
      </w:pPr>
    </w:p>
    <w:p w14:paraId="2ADAD813" w14:textId="77777777" w:rsidR="00955A45" w:rsidRPr="00BB2367" w:rsidRDefault="00955A45" w:rsidP="002068AC">
      <w:pPr>
        <w:jc w:val="both"/>
        <w:rPr>
          <w:rFonts w:ascii="Arial" w:eastAsia="Calibri" w:hAnsi="Arial" w:cs="Arial"/>
          <w:b/>
          <w:bCs/>
        </w:rPr>
      </w:pPr>
    </w:p>
    <w:p w14:paraId="0400F1A9" w14:textId="77777777" w:rsidR="005B42C9" w:rsidRDefault="005B42C9" w:rsidP="002068AC">
      <w:pPr>
        <w:jc w:val="both"/>
        <w:rPr>
          <w:rFonts w:ascii="Arial" w:eastAsia="Calibri" w:hAnsi="Arial" w:cs="Arial"/>
          <w:b/>
          <w:bCs/>
        </w:rPr>
      </w:pPr>
      <w:r w:rsidRPr="00BB2367">
        <w:rPr>
          <w:rFonts w:ascii="Arial" w:eastAsia="Calibri" w:hAnsi="Arial" w:cs="Arial"/>
          <w:b/>
          <w:bCs/>
        </w:rPr>
        <w:lastRenderedPageBreak/>
        <w:t xml:space="preserve">12. Documentation (Basic Forensic Science) </w:t>
      </w:r>
    </w:p>
    <w:p w14:paraId="2B632586" w14:textId="77777777" w:rsidR="00C90799" w:rsidRPr="00BB2367" w:rsidRDefault="00C90799" w:rsidP="002068AC">
      <w:pPr>
        <w:jc w:val="both"/>
        <w:rPr>
          <w:rFonts w:ascii="Arial" w:eastAsia="Calibri" w:hAnsi="Arial" w:cs="Arial"/>
          <w:b/>
          <w:bCs/>
        </w:rPr>
      </w:pPr>
    </w:p>
    <w:tbl>
      <w:tblPr>
        <w:tblW w:w="0" w:type="auto"/>
        <w:tblCellMar>
          <w:top w:w="15" w:type="dxa"/>
          <w:left w:w="15" w:type="dxa"/>
          <w:bottom w:w="15" w:type="dxa"/>
          <w:right w:w="15" w:type="dxa"/>
        </w:tblCellMar>
        <w:tblLook w:val="04A0" w:firstRow="1" w:lastRow="0" w:firstColumn="1" w:lastColumn="0" w:noHBand="0" w:noVBand="1"/>
      </w:tblPr>
      <w:tblGrid>
        <w:gridCol w:w="775"/>
        <w:gridCol w:w="5900"/>
      </w:tblGrid>
      <w:tr w:rsidR="004B3A1E" w:rsidRPr="004B3A1E" w14:paraId="0D53DD83" w14:textId="77777777" w:rsidTr="004B3A1E">
        <w:trPr>
          <w:trHeight w:val="33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59426B" w14:textId="74592207" w:rsidR="004B3A1E" w:rsidRPr="004B3A1E" w:rsidRDefault="004B3A1E" w:rsidP="002068AC">
            <w:pPr>
              <w:jc w:val="both"/>
              <w:rPr>
                <w:rFonts w:ascii="Arial" w:eastAsia="Calibri" w:hAnsi="Arial" w:cs="Arial"/>
                <w:sz w:val="22"/>
                <w:szCs w:val="22"/>
              </w:rPr>
            </w:pPr>
            <w:r w:rsidRPr="004B3A1E">
              <w:rPr>
                <w:rFonts w:ascii="Arial" w:eastAsia="Calibri" w:hAnsi="Arial" w:cs="Arial"/>
                <w:sz w:val="22"/>
                <w:szCs w:val="22"/>
              </w:rPr>
              <w:t>A12.1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5F2E4" w14:textId="77777777" w:rsidR="004B3A1E" w:rsidRPr="004B3A1E" w:rsidRDefault="004B3A1E" w:rsidP="002068AC">
            <w:pPr>
              <w:jc w:val="both"/>
              <w:rPr>
                <w:rFonts w:ascii="Arial" w:eastAsia="Calibri" w:hAnsi="Arial" w:cs="Arial"/>
                <w:sz w:val="22"/>
                <w:szCs w:val="22"/>
              </w:rPr>
            </w:pPr>
            <w:r w:rsidRPr="004B3A1E">
              <w:rPr>
                <w:rFonts w:ascii="Arial" w:eastAsia="Calibri" w:hAnsi="Arial" w:cs="Arial"/>
                <w:sz w:val="22"/>
                <w:szCs w:val="22"/>
              </w:rPr>
              <w:t>Compile appropriate data and observations in bench notes</w:t>
            </w:r>
          </w:p>
        </w:tc>
      </w:tr>
      <w:tr w:rsidR="004B3A1E" w:rsidRPr="004B3A1E" w14:paraId="72F3BE81" w14:textId="77777777" w:rsidTr="004B3A1E">
        <w:trPr>
          <w:trHeight w:val="3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65A568" w14:textId="0A162B3D" w:rsidR="004B3A1E" w:rsidRPr="004B3A1E" w:rsidRDefault="004B3A1E" w:rsidP="002068AC">
            <w:pPr>
              <w:jc w:val="both"/>
              <w:rPr>
                <w:rFonts w:ascii="Arial" w:eastAsia="Calibri" w:hAnsi="Arial" w:cs="Arial"/>
                <w:sz w:val="22"/>
                <w:szCs w:val="22"/>
              </w:rPr>
            </w:pPr>
            <w:r w:rsidRPr="004B3A1E">
              <w:rPr>
                <w:rFonts w:ascii="Arial" w:eastAsia="Calibri" w:hAnsi="Arial" w:cs="Arial"/>
                <w:sz w:val="22"/>
                <w:szCs w:val="22"/>
              </w:rPr>
              <w:t>A12.2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87772D" w14:textId="77777777" w:rsidR="004B3A1E" w:rsidRPr="004B3A1E" w:rsidRDefault="004B3A1E" w:rsidP="002068AC">
            <w:pPr>
              <w:jc w:val="both"/>
              <w:rPr>
                <w:rFonts w:ascii="Arial" w:eastAsia="Calibri" w:hAnsi="Arial" w:cs="Arial"/>
                <w:sz w:val="22"/>
                <w:szCs w:val="22"/>
              </w:rPr>
            </w:pPr>
            <w:r w:rsidRPr="004B3A1E">
              <w:rPr>
                <w:rFonts w:ascii="Arial" w:eastAsia="Calibri" w:hAnsi="Arial" w:cs="Arial"/>
                <w:sz w:val="22"/>
                <w:szCs w:val="22"/>
              </w:rPr>
              <w:t>Explain the function of bench notes in forensic casework</w:t>
            </w:r>
          </w:p>
        </w:tc>
      </w:tr>
      <w:tr w:rsidR="004B3A1E" w:rsidRPr="004B3A1E" w14:paraId="543D2351" w14:textId="77777777" w:rsidTr="004B3A1E">
        <w:trPr>
          <w:trHeight w:val="35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E04DCF" w14:textId="1A7B5FC8" w:rsidR="004B3A1E" w:rsidRPr="004B3A1E" w:rsidRDefault="004B3A1E" w:rsidP="002068AC">
            <w:pPr>
              <w:jc w:val="both"/>
              <w:rPr>
                <w:rFonts w:ascii="Arial" w:eastAsia="Calibri" w:hAnsi="Arial" w:cs="Arial"/>
                <w:sz w:val="22"/>
                <w:szCs w:val="22"/>
              </w:rPr>
            </w:pPr>
            <w:r w:rsidRPr="004B3A1E">
              <w:rPr>
                <w:rFonts w:ascii="Arial" w:eastAsia="Calibri" w:hAnsi="Arial" w:cs="Arial"/>
                <w:sz w:val="22"/>
                <w:szCs w:val="22"/>
              </w:rPr>
              <w:t>A12.3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15A3E4" w14:textId="77777777" w:rsidR="004B3A1E" w:rsidRPr="004B3A1E" w:rsidRDefault="004B3A1E" w:rsidP="002068AC">
            <w:pPr>
              <w:jc w:val="both"/>
              <w:rPr>
                <w:rFonts w:ascii="Arial" w:eastAsia="Calibri" w:hAnsi="Arial" w:cs="Arial"/>
                <w:sz w:val="22"/>
                <w:szCs w:val="22"/>
              </w:rPr>
            </w:pPr>
            <w:r w:rsidRPr="004B3A1E">
              <w:rPr>
                <w:rFonts w:ascii="Arial" w:eastAsia="Calibri" w:hAnsi="Arial" w:cs="Arial"/>
                <w:sz w:val="22"/>
                <w:szCs w:val="22"/>
              </w:rPr>
              <w:t>Photo-document skeletal evidence.</w:t>
            </w:r>
          </w:p>
        </w:tc>
      </w:tr>
    </w:tbl>
    <w:p w14:paraId="1EA7B80C" w14:textId="77777777" w:rsidR="005B42C9" w:rsidRPr="005B42C9" w:rsidRDefault="005B42C9" w:rsidP="002068AC">
      <w:pPr>
        <w:jc w:val="both"/>
        <w:rPr>
          <w:rFonts w:ascii="Arial" w:eastAsia="Calibri" w:hAnsi="Arial" w:cs="Arial"/>
          <w:sz w:val="22"/>
          <w:szCs w:val="22"/>
        </w:rPr>
      </w:pPr>
    </w:p>
    <w:p w14:paraId="22C166DA" w14:textId="77777777" w:rsidR="005B42C9" w:rsidRPr="005B42C9" w:rsidRDefault="005B42C9" w:rsidP="002068AC">
      <w:pPr>
        <w:jc w:val="both"/>
        <w:rPr>
          <w:rFonts w:ascii="Arial" w:eastAsia="Calibri" w:hAnsi="Arial" w:cs="Arial"/>
          <w:sz w:val="22"/>
          <w:szCs w:val="22"/>
        </w:rPr>
      </w:pPr>
    </w:p>
    <w:p w14:paraId="70938D43" w14:textId="77777777" w:rsidR="005B42C9" w:rsidRPr="004B3A1E" w:rsidRDefault="005B42C9" w:rsidP="002068AC">
      <w:pPr>
        <w:jc w:val="both"/>
        <w:rPr>
          <w:rFonts w:ascii="Arial" w:eastAsia="Calibri" w:hAnsi="Arial" w:cs="Arial"/>
          <w:b/>
          <w:bCs/>
          <w:sz w:val="22"/>
          <w:szCs w:val="22"/>
        </w:rPr>
      </w:pPr>
      <w:r w:rsidRPr="004B3A1E">
        <w:rPr>
          <w:rFonts w:ascii="Arial" w:eastAsia="Calibri" w:hAnsi="Arial" w:cs="Arial"/>
          <w:b/>
          <w:bCs/>
          <w:sz w:val="22"/>
          <w:szCs w:val="22"/>
        </w:rPr>
        <w:t xml:space="preserve">References </w:t>
      </w:r>
    </w:p>
    <w:p w14:paraId="679F3BE6" w14:textId="77777777" w:rsidR="005B42C9" w:rsidRPr="005B42C9" w:rsidRDefault="005B42C9" w:rsidP="002068AC">
      <w:pPr>
        <w:jc w:val="both"/>
        <w:rPr>
          <w:rFonts w:ascii="Arial" w:eastAsia="Calibri" w:hAnsi="Arial" w:cs="Arial"/>
          <w:sz w:val="22"/>
          <w:szCs w:val="22"/>
        </w:rPr>
      </w:pPr>
      <w:r w:rsidRPr="005B42C9">
        <w:rPr>
          <w:rFonts w:ascii="Arial" w:eastAsia="Calibri" w:hAnsi="Arial" w:cs="Arial"/>
          <w:sz w:val="22"/>
          <w:szCs w:val="22"/>
        </w:rPr>
        <w:t>Houck, M. M., &amp; Siegel, J. A. (2009). Fundamentals of forensic science. Academic Press.[A12.1, A12.2, A12.3]</w:t>
      </w:r>
    </w:p>
    <w:p w14:paraId="62C9CA6F" w14:textId="77777777" w:rsidR="005B42C9" w:rsidRPr="005B42C9" w:rsidRDefault="005B42C9" w:rsidP="002068AC">
      <w:pPr>
        <w:jc w:val="both"/>
        <w:rPr>
          <w:rFonts w:ascii="Arial" w:eastAsia="Calibri" w:hAnsi="Arial" w:cs="Arial"/>
          <w:sz w:val="22"/>
          <w:szCs w:val="22"/>
        </w:rPr>
      </w:pPr>
    </w:p>
    <w:p w14:paraId="7267E308" w14:textId="58E406A7" w:rsidR="005B42C9" w:rsidRPr="005B42C9" w:rsidRDefault="005B42C9" w:rsidP="002068AC">
      <w:pPr>
        <w:jc w:val="both"/>
        <w:rPr>
          <w:rFonts w:ascii="Arial" w:eastAsia="Calibri" w:hAnsi="Arial" w:cs="Arial"/>
          <w:sz w:val="22"/>
          <w:szCs w:val="22"/>
        </w:rPr>
      </w:pPr>
      <w:proofErr w:type="spellStart"/>
      <w:r w:rsidRPr="005B42C9">
        <w:rPr>
          <w:rFonts w:ascii="Arial" w:eastAsia="Calibri" w:hAnsi="Arial" w:cs="Arial"/>
          <w:sz w:val="22"/>
          <w:szCs w:val="22"/>
        </w:rPr>
        <w:t>Zephro</w:t>
      </w:r>
      <w:proofErr w:type="spellEnd"/>
      <w:r w:rsidRPr="005B42C9">
        <w:rPr>
          <w:rFonts w:ascii="Arial" w:eastAsia="Calibri" w:hAnsi="Arial" w:cs="Arial"/>
          <w:sz w:val="22"/>
          <w:szCs w:val="22"/>
        </w:rPr>
        <w:t xml:space="preserve"> L., and A. Galloway. (2019). Report writing and case documentation in forensic anthropology.  IN: Forensic Anthropology and the United States Judicial System, ed by </w:t>
      </w:r>
      <w:proofErr w:type="spellStart"/>
      <w:r w:rsidRPr="005B42C9">
        <w:rPr>
          <w:rFonts w:ascii="Arial" w:eastAsia="Calibri" w:hAnsi="Arial" w:cs="Arial"/>
          <w:sz w:val="22"/>
          <w:szCs w:val="22"/>
        </w:rPr>
        <w:t>Fulfiniti</w:t>
      </w:r>
      <w:proofErr w:type="spellEnd"/>
      <w:r w:rsidRPr="005B42C9">
        <w:rPr>
          <w:rFonts w:ascii="Arial" w:eastAsia="Calibri" w:hAnsi="Arial" w:cs="Arial"/>
          <w:sz w:val="22"/>
          <w:szCs w:val="22"/>
        </w:rPr>
        <w:t>, L.C., K. Hartnett-McCann, and A. Galloway. pp. 89-108.  [A12.1, A12.2</w:t>
      </w:r>
      <w:r w:rsidR="0096259F">
        <w:rPr>
          <w:rFonts w:ascii="Arial" w:eastAsia="Calibri" w:hAnsi="Arial" w:cs="Arial"/>
          <w:sz w:val="22"/>
          <w:szCs w:val="22"/>
        </w:rPr>
        <w:t>, A1</w:t>
      </w:r>
      <w:r w:rsidR="00593AB0">
        <w:rPr>
          <w:rFonts w:ascii="Arial" w:eastAsia="Calibri" w:hAnsi="Arial" w:cs="Arial"/>
          <w:sz w:val="22"/>
          <w:szCs w:val="22"/>
        </w:rPr>
        <w:t>3.2</w:t>
      </w:r>
      <w:r w:rsidRPr="005B42C9">
        <w:rPr>
          <w:rFonts w:ascii="Arial" w:eastAsia="Calibri" w:hAnsi="Arial" w:cs="Arial"/>
          <w:sz w:val="22"/>
          <w:szCs w:val="22"/>
        </w:rPr>
        <w:t>]</w:t>
      </w:r>
    </w:p>
    <w:p w14:paraId="167D9A87" w14:textId="77777777" w:rsidR="005B42C9" w:rsidRPr="005B42C9" w:rsidRDefault="005B42C9" w:rsidP="002068AC">
      <w:pPr>
        <w:jc w:val="both"/>
        <w:rPr>
          <w:rFonts w:ascii="Arial" w:eastAsia="Calibri" w:hAnsi="Arial" w:cs="Arial"/>
          <w:sz w:val="22"/>
          <w:szCs w:val="22"/>
        </w:rPr>
      </w:pPr>
    </w:p>
    <w:p w14:paraId="6B9DE0D1" w14:textId="77777777" w:rsidR="005B42C9" w:rsidRPr="005B42C9" w:rsidRDefault="005B42C9" w:rsidP="002068AC">
      <w:pPr>
        <w:jc w:val="both"/>
        <w:rPr>
          <w:rFonts w:ascii="Arial" w:eastAsia="Calibri" w:hAnsi="Arial" w:cs="Arial"/>
          <w:sz w:val="22"/>
          <w:szCs w:val="22"/>
        </w:rPr>
      </w:pPr>
      <w:proofErr w:type="spellStart"/>
      <w:r w:rsidRPr="005B42C9">
        <w:rPr>
          <w:rFonts w:ascii="Arial" w:eastAsia="Calibri" w:hAnsi="Arial" w:cs="Arial"/>
          <w:sz w:val="22"/>
          <w:szCs w:val="22"/>
        </w:rPr>
        <w:t>Zephro</w:t>
      </w:r>
      <w:proofErr w:type="spellEnd"/>
      <w:r w:rsidRPr="005B42C9">
        <w:rPr>
          <w:rFonts w:ascii="Arial" w:eastAsia="Calibri" w:hAnsi="Arial" w:cs="Arial"/>
          <w:sz w:val="22"/>
          <w:szCs w:val="22"/>
        </w:rPr>
        <w:t xml:space="preserve"> L., and A. Galloway. (2019). Skull shots: forensic photography for anthropologists.  IN: Forensic Anthropology and the United States Judicial System, ed by </w:t>
      </w:r>
      <w:proofErr w:type="spellStart"/>
      <w:r w:rsidRPr="005B42C9">
        <w:rPr>
          <w:rFonts w:ascii="Arial" w:eastAsia="Calibri" w:hAnsi="Arial" w:cs="Arial"/>
          <w:sz w:val="22"/>
          <w:szCs w:val="22"/>
        </w:rPr>
        <w:t>Fulfiniti</w:t>
      </w:r>
      <w:proofErr w:type="spellEnd"/>
      <w:r w:rsidRPr="005B42C9">
        <w:rPr>
          <w:rFonts w:ascii="Arial" w:eastAsia="Calibri" w:hAnsi="Arial" w:cs="Arial"/>
          <w:sz w:val="22"/>
          <w:szCs w:val="22"/>
        </w:rPr>
        <w:t>, L.C., K. Hartnett-McCann, and A. Galloway. pp. 89-108.  [A12.3]</w:t>
      </w:r>
    </w:p>
    <w:p w14:paraId="22C69F79" w14:textId="77777777" w:rsidR="005B42C9" w:rsidRPr="005B42C9" w:rsidRDefault="005B42C9" w:rsidP="002068AC">
      <w:pPr>
        <w:jc w:val="both"/>
        <w:rPr>
          <w:rFonts w:ascii="Arial" w:eastAsia="Calibri" w:hAnsi="Arial" w:cs="Arial"/>
          <w:sz w:val="22"/>
          <w:szCs w:val="22"/>
        </w:rPr>
      </w:pPr>
    </w:p>
    <w:p w14:paraId="76FE2829" w14:textId="77777777" w:rsidR="005B42C9" w:rsidRDefault="005B42C9" w:rsidP="002068AC">
      <w:pPr>
        <w:jc w:val="both"/>
        <w:rPr>
          <w:rFonts w:ascii="Arial" w:eastAsia="Calibri" w:hAnsi="Arial" w:cs="Arial"/>
          <w:sz w:val="22"/>
          <w:szCs w:val="22"/>
        </w:rPr>
      </w:pPr>
    </w:p>
    <w:p w14:paraId="214A2714" w14:textId="77777777" w:rsidR="00955A45" w:rsidRDefault="00955A45" w:rsidP="002068AC">
      <w:pPr>
        <w:jc w:val="both"/>
        <w:rPr>
          <w:rFonts w:ascii="Arial" w:eastAsia="Calibri" w:hAnsi="Arial" w:cs="Arial"/>
          <w:sz w:val="22"/>
          <w:szCs w:val="22"/>
        </w:rPr>
      </w:pPr>
    </w:p>
    <w:p w14:paraId="447C97F2" w14:textId="77777777" w:rsidR="00955A45" w:rsidRDefault="00955A45" w:rsidP="002068AC">
      <w:pPr>
        <w:jc w:val="both"/>
        <w:rPr>
          <w:rFonts w:ascii="Arial" w:eastAsia="Calibri" w:hAnsi="Arial" w:cs="Arial"/>
          <w:sz w:val="22"/>
          <w:szCs w:val="22"/>
        </w:rPr>
      </w:pPr>
    </w:p>
    <w:p w14:paraId="32ADBDFE" w14:textId="77777777" w:rsidR="00955A45" w:rsidRDefault="00955A45" w:rsidP="002068AC">
      <w:pPr>
        <w:jc w:val="both"/>
        <w:rPr>
          <w:rFonts w:ascii="Arial" w:eastAsia="Calibri" w:hAnsi="Arial" w:cs="Arial"/>
          <w:sz w:val="22"/>
          <w:szCs w:val="22"/>
        </w:rPr>
      </w:pPr>
    </w:p>
    <w:p w14:paraId="18CC446C" w14:textId="77777777" w:rsidR="00955A45" w:rsidRDefault="00955A45" w:rsidP="002068AC">
      <w:pPr>
        <w:jc w:val="both"/>
        <w:rPr>
          <w:rFonts w:ascii="Arial" w:eastAsia="Calibri" w:hAnsi="Arial" w:cs="Arial"/>
          <w:sz w:val="22"/>
          <w:szCs w:val="22"/>
        </w:rPr>
      </w:pPr>
    </w:p>
    <w:p w14:paraId="43CFB2DF" w14:textId="77777777" w:rsidR="00955A45" w:rsidRDefault="00955A45" w:rsidP="002068AC">
      <w:pPr>
        <w:jc w:val="both"/>
        <w:rPr>
          <w:rFonts w:ascii="Arial" w:eastAsia="Calibri" w:hAnsi="Arial" w:cs="Arial"/>
          <w:sz w:val="22"/>
          <w:szCs w:val="22"/>
        </w:rPr>
      </w:pPr>
    </w:p>
    <w:p w14:paraId="3B79F3E7" w14:textId="77777777" w:rsidR="00955A45" w:rsidRDefault="00955A45" w:rsidP="002068AC">
      <w:pPr>
        <w:jc w:val="both"/>
        <w:rPr>
          <w:rFonts w:ascii="Arial" w:eastAsia="Calibri" w:hAnsi="Arial" w:cs="Arial"/>
          <w:sz w:val="22"/>
          <w:szCs w:val="22"/>
        </w:rPr>
      </w:pPr>
    </w:p>
    <w:p w14:paraId="0E58B43D" w14:textId="77777777" w:rsidR="00955A45" w:rsidRDefault="00955A45" w:rsidP="002068AC">
      <w:pPr>
        <w:jc w:val="both"/>
        <w:rPr>
          <w:rFonts w:ascii="Arial" w:eastAsia="Calibri" w:hAnsi="Arial" w:cs="Arial"/>
          <w:sz w:val="22"/>
          <w:szCs w:val="22"/>
        </w:rPr>
      </w:pPr>
    </w:p>
    <w:p w14:paraId="3EA41593" w14:textId="77777777" w:rsidR="00955A45" w:rsidRDefault="00955A45" w:rsidP="002068AC">
      <w:pPr>
        <w:jc w:val="both"/>
        <w:rPr>
          <w:rFonts w:ascii="Arial" w:eastAsia="Calibri" w:hAnsi="Arial" w:cs="Arial"/>
          <w:sz w:val="22"/>
          <w:szCs w:val="22"/>
        </w:rPr>
      </w:pPr>
    </w:p>
    <w:p w14:paraId="205263A6" w14:textId="77777777" w:rsidR="00955A45" w:rsidRDefault="00955A45" w:rsidP="002068AC">
      <w:pPr>
        <w:jc w:val="both"/>
        <w:rPr>
          <w:rFonts w:ascii="Arial" w:eastAsia="Calibri" w:hAnsi="Arial" w:cs="Arial"/>
          <w:sz w:val="22"/>
          <w:szCs w:val="22"/>
        </w:rPr>
      </w:pPr>
    </w:p>
    <w:p w14:paraId="1D55A1BA" w14:textId="77777777" w:rsidR="00955A45" w:rsidRDefault="00955A45" w:rsidP="002068AC">
      <w:pPr>
        <w:jc w:val="both"/>
        <w:rPr>
          <w:rFonts w:ascii="Arial" w:eastAsia="Calibri" w:hAnsi="Arial" w:cs="Arial"/>
          <w:sz w:val="22"/>
          <w:szCs w:val="22"/>
        </w:rPr>
      </w:pPr>
    </w:p>
    <w:p w14:paraId="5EBEE222" w14:textId="77777777" w:rsidR="00955A45" w:rsidRDefault="00955A45" w:rsidP="002068AC">
      <w:pPr>
        <w:jc w:val="both"/>
        <w:rPr>
          <w:rFonts w:ascii="Arial" w:eastAsia="Calibri" w:hAnsi="Arial" w:cs="Arial"/>
          <w:sz w:val="22"/>
          <w:szCs w:val="22"/>
        </w:rPr>
      </w:pPr>
    </w:p>
    <w:p w14:paraId="09DF7E3C" w14:textId="77777777" w:rsidR="00955A45" w:rsidRDefault="00955A45" w:rsidP="002068AC">
      <w:pPr>
        <w:jc w:val="both"/>
        <w:rPr>
          <w:rFonts w:ascii="Arial" w:eastAsia="Calibri" w:hAnsi="Arial" w:cs="Arial"/>
          <w:sz w:val="22"/>
          <w:szCs w:val="22"/>
        </w:rPr>
      </w:pPr>
    </w:p>
    <w:p w14:paraId="6C964BE9" w14:textId="77777777" w:rsidR="00955A45" w:rsidRDefault="00955A45" w:rsidP="002068AC">
      <w:pPr>
        <w:jc w:val="both"/>
        <w:rPr>
          <w:rFonts w:ascii="Arial" w:eastAsia="Calibri" w:hAnsi="Arial" w:cs="Arial"/>
          <w:sz w:val="22"/>
          <w:szCs w:val="22"/>
        </w:rPr>
      </w:pPr>
    </w:p>
    <w:p w14:paraId="41C5DD34" w14:textId="77777777" w:rsidR="00955A45" w:rsidRDefault="00955A45" w:rsidP="002068AC">
      <w:pPr>
        <w:jc w:val="both"/>
        <w:rPr>
          <w:rFonts w:ascii="Arial" w:eastAsia="Calibri" w:hAnsi="Arial" w:cs="Arial"/>
          <w:sz w:val="22"/>
          <w:szCs w:val="22"/>
        </w:rPr>
      </w:pPr>
    </w:p>
    <w:p w14:paraId="1E168A03" w14:textId="77777777" w:rsidR="00955A45" w:rsidRDefault="00955A45" w:rsidP="002068AC">
      <w:pPr>
        <w:jc w:val="both"/>
        <w:rPr>
          <w:rFonts w:ascii="Arial" w:eastAsia="Calibri" w:hAnsi="Arial" w:cs="Arial"/>
          <w:sz w:val="22"/>
          <w:szCs w:val="22"/>
        </w:rPr>
      </w:pPr>
    </w:p>
    <w:p w14:paraId="1F0FF299" w14:textId="77777777" w:rsidR="00955A45" w:rsidRDefault="00955A45" w:rsidP="002068AC">
      <w:pPr>
        <w:jc w:val="both"/>
        <w:rPr>
          <w:rFonts w:ascii="Arial" w:eastAsia="Calibri" w:hAnsi="Arial" w:cs="Arial"/>
          <w:sz w:val="22"/>
          <w:szCs w:val="22"/>
        </w:rPr>
      </w:pPr>
    </w:p>
    <w:p w14:paraId="77CDB35A" w14:textId="77777777" w:rsidR="00955A45" w:rsidRDefault="00955A45" w:rsidP="002068AC">
      <w:pPr>
        <w:jc w:val="both"/>
        <w:rPr>
          <w:rFonts w:ascii="Arial" w:eastAsia="Calibri" w:hAnsi="Arial" w:cs="Arial"/>
          <w:sz w:val="22"/>
          <w:szCs w:val="22"/>
        </w:rPr>
      </w:pPr>
    </w:p>
    <w:p w14:paraId="5AFED5D3" w14:textId="77777777" w:rsidR="00955A45" w:rsidRDefault="00955A45" w:rsidP="002068AC">
      <w:pPr>
        <w:jc w:val="both"/>
        <w:rPr>
          <w:rFonts w:ascii="Arial" w:eastAsia="Calibri" w:hAnsi="Arial" w:cs="Arial"/>
          <w:sz w:val="22"/>
          <w:szCs w:val="22"/>
        </w:rPr>
      </w:pPr>
    </w:p>
    <w:p w14:paraId="14032D3C" w14:textId="77777777" w:rsidR="00955A45" w:rsidRDefault="00955A45" w:rsidP="002068AC">
      <w:pPr>
        <w:jc w:val="both"/>
        <w:rPr>
          <w:rFonts w:ascii="Arial" w:eastAsia="Calibri" w:hAnsi="Arial" w:cs="Arial"/>
          <w:sz w:val="22"/>
          <w:szCs w:val="22"/>
        </w:rPr>
      </w:pPr>
    </w:p>
    <w:p w14:paraId="4BC2336E" w14:textId="77777777" w:rsidR="00955A45" w:rsidRDefault="00955A45" w:rsidP="002068AC">
      <w:pPr>
        <w:jc w:val="both"/>
        <w:rPr>
          <w:rFonts w:ascii="Arial" w:eastAsia="Calibri" w:hAnsi="Arial" w:cs="Arial"/>
          <w:sz w:val="22"/>
          <w:szCs w:val="22"/>
        </w:rPr>
      </w:pPr>
    </w:p>
    <w:p w14:paraId="371F7B52" w14:textId="77777777" w:rsidR="00955A45" w:rsidRDefault="00955A45" w:rsidP="002068AC">
      <w:pPr>
        <w:jc w:val="both"/>
        <w:rPr>
          <w:rFonts w:ascii="Arial" w:eastAsia="Calibri" w:hAnsi="Arial" w:cs="Arial"/>
          <w:sz w:val="22"/>
          <w:szCs w:val="22"/>
        </w:rPr>
      </w:pPr>
    </w:p>
    <w:p w14:paraId="74E8EB3B" w14:textId="77777777" w:rsidR="00955A45" w:rsidRDefault="00955A45" w:rsidP="002068AC">
      <w:pPr>
        <w:jc w:val="both"/>
        <w:rPr>
          <w:rFonts w:ascii="Arial" w:eastAsia="Calibri" w:hAnsi="Arial" w:cs="Arial"/>
          <w:sz w:val="22"/>
          <w:szCs w:val="22"/>
        </w:rPr>
      </w:pPr>
    </w:p>
    <w:p w14:paraId="45E21703" w14:textId="77777777" w:rsidR="00955A45" w:rsidRDefault="00955A45" w:rsidP="002068AC">
      <w:pPr>
        <w:jc w:val="both"/>
        <w:rPr>
          <w:rFonts w:ascii="Arial" w:eastAsia="Calibri" w:hAnsi="Arial" w:cs="Arial"/>
          <w:sz w:val="22"/>
          <w:szCs w:val="22"/>
        </w:rPr>
      </w:pPr>
    </w:p>
    <w:p w14:paraId="5C1C7800" w14:textId="77777777" w:rsidR="00955A45" w:rsidRDefault="00955A45" w:rsidP="002068AC">
      <w:pPr>
        <w:jc w:val="both"/>
        <w:rPr>
          <w:rFonts w:ascii="Arial" w:eastAsia="Calibri" w:hAnsi="Arial" w:cs="Arial"/>
          <w:sz w:val="22"/>
          <w:szCs w:val="22"/>
        </w:rPr>
      </w:pPr>
    </w:p>
    <w:p w14:paraId="386A1AF9" w14:textId="77777777" w:rsidR="00955A45" w:rsidRDefault="00955A45" w:rsidP="002068AC">
      <w:pPr>
        <w:jc w:val="both"/>
        <w:rPr>
          <w:rFonts w:ascii="Arial" w:eastAsia="Calibri" w:hAnsi="Arial" w:cs="Arial"/>
          <w:sz w:val="22"/>
          <w:szCs w:val="22"/>
        </w:rPr>
      </w:pPr>
    </w:p>
    <w:p w14:paraId="746FC864" w14:textId="77777777" w:rsidR="00955A45" w:rsidRDefault="00955A45" w:rsidP="002068AC">
      <w:pPr>
        <w:jc w:val="both"/>
        <w:rPr>
          <w:rFonts w:ascii="Arial" w:eastAsia="Calibri" w:hAnsi="Arial" w:cs="Arial"/>
          <w:sz w:val="22"/>
          <w:szCs w:val="22"/>
        </w:rPr>
      </w:pPr>
    </w:p>
    <w:p w14:paraId="45876E15" w14:textId="77777777" w:rsidR="00955A45" w:rsidRDefault="00955A45" w:rsidP="002068AC">
      <w:pPr>
        <w:jc w:val="both"/>
        <w:rPr>
          <w:rFonts w:ascii="Arial" w:eastAsia="Calibri" w:hAnsi="Arial" w:cs="Arial"/>
          <w:sz w:val="22"/>
          <w:szCs w:val="22"/>
        </w:rPr>
      </w:pPr>
    </w:p>
    <w:p w14:paraId="7598CB29" w14:textId="77777777" w:rsidR="00955A45" w:rsidRPr="005B42C9" w:rsidRDefault="00955A45" w:rsidP="002068AC">
      <w:pPr>
        <w:jc w:val="both"/>
        <w:rPr>
          <w:rFonts w:ascii="Arial" w:eastAsia="Calibri" w:hAnsi="Arial" w:cs="Arial"/>
          <w:sz w:val="22"/>
          <w:szCs w:val="22"/>
        </w:rPr>
      </w:pPr>
    </w:p>
    <w:p w14:paraId="0F57B498" w14:textId="77777777" w:rsidR="005B42C9" w:rsidRDefault="005B42C9" w:rsidP="002068AC">
      <w:pPr>
        <w:jc w:val="both"/>
        <w:rPr>
          <w:rFonts w:ascii="Arial" w:eastAsia="Calibri" w:hAnsi="Arial" w:cs="Arial"/>
          <w:b/>
          <w:bCs/>
        </w:rPr>
      </w:pPr>
      <w:r w:rsidRPr="004B3A1E">
        <w:rPr>
          <w:rFonts w:ascii="Arial" w:eastAsia="Calibri" w:hAnsi="Arial" w:cs="Arial"/>
          <w:b/>
          <w:bCs/>
        </w:rPr>
        <w:lastRenderedPageBreak/>
        <w:t xml:space="preserve">13. Evidence Handling (Basic Forensic Science) </w:t>
      </w:r>
    </w:p>
    <w:p w14:paraId="3251155B" w14:textId="77777777" w:rsidR="00310CDF" w:rsidRPr="004B3A1E" w:rsidRDefault="00310CDF" w:rsidP="002068AC">
      <w:pPr>
        <w:jc w:val="both"/>
        <w:rPr>
          <w:rFonts w:ascii="Arial" w:eastAsia="Calibri" w:hAnsi="Arial" w:cs="Arial"/>
          <w:b/>
          <w:bCs/>
        </w:rPr>
      </w:pPr>
    </w:p>
    <w:tbl>
      <w:tblPr>
        <w:tblW w:w="0" w:type="auto"/>
        <w:tblCellMar>
          <w:top w:w="15" w:type="dxa"/>
          <w:left w:w="15" w:type="dxa"/>
          <w:bottom w:w="15" w:type="dxa"/>
          <w:right w:w="15" w:type="dxa"/>
        </w:tblCellMar>
        <w:tblLook w:val="04A0" w:firstRow="1" w:lastRow="0" w:firstColumn="1" w:lastColumn="0" w:noHBand="0" w:noVBand="1"/>
      </w:tblPr>
      <w:tblGrid>
        <w:gridCol w:w="775"/>
        <w:gridCol w:w="5055"/>
      </w:tblGrid>
      <w:tr w:rsidR="00310CDF" w:rsidRPr="00310CDF" w14:paraId="272DABBE" w14:textId="77777777" w:rsidTr="00955A45">
        <w:trPr>
          <w:trHeight w:val="40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4AE751" w14:textId="6BAD0971" w:rsidR="00310CDF" w:rsidRPr="00310CDF" w:rsidRDefault="00310CDF" w:rsidP="002068AC">
            <w:pPr>
              <w:jc w:val="both"/>
              <w:rPr>
                <w:rFonts w:ascii="Arial" w:eastAsia="Calibri" w:hAnsi="Arial" w:cs="Arial"/>
                <w:sz w:val="22"/>
                <w:szCs w:val="22"/>
              </w:rPr>
            </w:pPr>
            <w:r w:rsidRPr="00310CDF">
              <w:rPr>
                <w:rFonts w:ascii="Arial" w:eastAsia="Calibri" w:hAnsi="Arial" w:cs="Arial"/>
                <w:sz w:val="22"/>
                <w:szCs w:val="22"/>
              </w:rPr>
              <w:t>A13.1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98D4EE" w14:textId="77777777" w:rsidR="00310CDF" w:rsidRPr="00310CDF" w:rsidRDefault="00310CDF" w:rsidP="002068AC">
            <w:pPr>
              <w:jc w:val="both"/>
              <w:rPr>
                <w:rFonts w:ascii="Arial" w:eastAsia="Calibri" w:hAnsi="Arial" w:cs="Arial"/>
                <w:sz w:val="22"/>
                <w:szCs w:val="22"/>
              </w:rPr>
            </w:pPr>
            <w:r w:rsidRPr="00310CDF">
              <w:rPr>
                <w:rFonts w:ascii="Arial" w:eastAsia="Calibri" w:hAnsi="Arial" w:cs="Arial"/>
                <w:sz w:val="22"/>
                <w:szCs w:val="22"/>
              </w:rPr>
              <w:t>Explain the importance of the chain of custody </w:t>
            </w:r>
          </w:p>
        </w:tc>
      </w:tr>
      <w:tr w:rsidR="00310CDF" w:rsidRPr="00310CDF" w14:paraId="38043D03" w14:textId="77777777" w:rsidTr="00955A45">
        <w:trPr>
          <w:trHeight w:val="40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22667A" w14:textId="68501588" w:rsidR="00310CDF" w:rsidRPr="00310CDF" w:rsidRDefault="00310CDF" w:rsidP="002068AC">
            <w:pPr>
              <w:jc w:val="both"/>
              <w:rPr>
                <w:rFonts w:ascii="Arial" w:eastAsia="Calibri" w:hAnsi="Arial" w:cs="Arial"/>
                <w:sz w:val="22"/>
                <w:szCs w:val="22"/>
              </w:rPr>
            </w:pPr>
            <w:r w:rsidRPr="00310CDF">
              <w:rPr>
                <w:rFonts w:ascii="Arial" w:eastAsia="Calibri" w:hAnsi="Arial" w:cs="Arial"/>
                <w:sz w:val="22"/>
                <w:szCs w:val="22"/>
              </w:rPr>
              <w:t>A13.2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C2109E" w14:textId="77777777" w:rsidR="00310CDF" w:rsidRPr="00310CDF" w:rsidRDefault="00310CDF" w:rsidP="002068AC">
            <w:pPr>
              <w:jc w:val="both"/>
              <w:rPr>
                <w:rFonts w:ascii="Arial" w:eastAsia="Calibri" w:hAnsi="Arial" w:cs="Arial"/>
                <w:sz w:val="22"/>
                <w:szCs w:val="22"/>
              </w:rPr>
            </w:pPr>
            <w:r w:rsidRPr="00310CDF">
              <w:rPr>
                <w:rFonts w:ascii="Arial" w:eastAsia="Calibri" w:hAnsi="Arial" w:cs="Arial"/>
                <w:sz w:val="22"/>
                <w:szCs w:val="22"/>
              </w:rPr>
              <w:t>Describe appropriate chain of custody procedures</w:t>
            </w:r>
          </w:p>
        </w:tc>
      </w:tr>
    </w:tbl>
    <w:p w14:paraId="234C7655" w14:textId="77777777" w:rsidR="005B42C9" w:rsidRPr="005B42C9" w:rsidRDefault="005B42C9" w:rsidP="002068AC">
      <w:pPr>
        <w:jc w:val="both"/>
        <w:rPr>
          <w:rFonts w:ascii="Arial" w:eastAsia="Calibri" w:hAnsi="Arial" w:cs="Arial"/>
          <w:sz w:val="22"/>
          <w:szCs w:val="22"/>
        </w:rPr>
      </w:pPr>
    </w:p>
    <w:p w14:paraId="0F4E2037" w14:textId="77777777" w:rsidR="005B42C9" w:rsidRPr="005B42C9" w:rsidRDefault="005B42C9" w:rsidP="002068AC">
      <w:pPr>
        <w:jc w:val="both"/>
        <w:rPr>
          <w:rFonts w:ascii="Arial" w:eastAsia="Calibri" w:hAnsi="Arial" w:cs="Arial"/>
          <w:sz w:val="22"/>
          <w:szCs w:val="22"/>
        </w:rPr>
      </w:pPr>
    </w:p>
    <w:p w14:paraId="43368B2A" w14:textId="77777777" w:rsidR="005B42C9" w:rsidRPr="00310CDF" w:rsidRDefault="005B42C9" w:rsidP="002068AC">
      <w:pPr>
        <w:jc w:val="both"/>
        <w:rPr>
          <w:rFonts w:ascii="Arial" w:eastAsia="Calibri" w:hAnsi="Arial" w:cs="Arial"/>
          <w:b/>
          <w:bCs/>
          <w:sz w:val="22"/>
          <w:szCs w:val="22"/>
        </w:rPr>
      </w:pPr>
      <w:r w:rsidRPr="00310CDF">
        <w:rPr>
          <w:rFonts w:ascii="Arial" w:eastAsia="Calibri" w:hAnsi="Arial" w:cs="Arial"/>
          <w:b/>
          <w:bCs/>
          <w:sz w:val="22"/>
          <w:szCs w:val="22"/>
        </w:rPr>
        <w:t xml:space="preserve">References </w:t>
      </w:r>
    </w:p>
    <w:p w14:paraId="7CA91F3F" w14:textId="19DF1059" w:rsidR="00C85B4A" w:rsidRDefault="00C85B4A" w:rsidP="002068AC">
      <w:pPr>
        <w:spacing w:after="240"/>
        <w:jc w:val="both"/>
        <w:rPr>
          <w:rFonts w:ascii="Arial" w:eastAsia="Calibri" w:hAnsi="Arial" w:cs="Arial"/>
          <w:sz w:val="22"/>
          <w:szCs w:val="22"/>
        </w:rPr>
      </w:pPr>
      <w:proofErr w:type="spellStart"/>
      <w:r w:rsidRPr="00C85B4A">
        <w:rPr>
          <w:rFonts w:ascii="Arial" w:eastAsia="Calibri" w:hAnsi="Arial" w:cs="Arial"/>
          <w:sz w:val="22"/>
          <w:szCs w:val="22"/>
        </w:rPr>
        <w:t>Badiye</w:t>
      </w:r>
      <w:proofErr w:type="spellEnd"/>
      <w:r w:rsidRPr="00C85B4A">
        <w:rPr>
          <w:rFonts w:ascii="Arial" w:eastAsia="Calibri" w:hAnsi="Arial" w:cs="Arial"/>
          <w:sz w:val="22"/>
          <w:szCs w:val="22"/>
        </w:rPr>
        <w:t xml:space="preserve"> A, Kapoor N, Menezes RG. Chain of Custody. [Updated 2023 Feb 13]. In: </w:t>
      </w:r>
      <w:proofErr w:type="spellStart"/>
      <w:r w:rsidRPr="00C85B4A">
        <w:rPr>
          <w:rFonts w:ascii="Arial" w:eastAsia="Calibri" w:hAnsi="Arial" w:cs="Arial"/>
          <w:sz w:val="22"/>
          <w:szCs w:val="22"/>
        </w:rPr>
        <w:t>StatPearls</w:t>
      </w:r>
      <w:proofErr w:type="spellEnd"/>
      <w:r w:rsidRPr="00C85B4A">
        <w:rPr>
          <w:rFonts w:ascii="Arial" w:eastAsia="Calibri" w:hAnsi="Arial" w:cs="Arial"/>
          <w:sz w:val="22"/>
          <w:szCs w:val="22"/>
        </w:rPr>
        <w:t xml:space="preserve"> [Internet]. Treasure Island (FL): </w:t>
      </w:r>
      <w:proofErr w:type="spellStart"/>
      <w:r w:rsidRPr="00C85B4A">
        <w:rPr>
          <w:rFonts w:ascii="Arial" w:eastAsia="Calibri" w:hAnsi="Arial" w:cs="Arial"/>
          <w:sz w:val="22"/>
          <w:szCs w:val="22"/>
        </w:rPr>
        <w:t>StatPearls</w:t>
      </w:r>
      <w:proofErr w:type="spellEnd"/>
      <w:r w:rsidRPr="00C85B4A">
        <w:rPr>
          <w:rFonts w:ascii="Arial" w:eastAsia="Calibri" w:hAnsi="Arial" w:cs="Arial"/>
          <w:sz w:val="22"/>
          <w:szCs w:val="22"/>
        </w:rPr>
        <w:t xml:space="preserve"> Publishing; 2025 Jan-. Available from: </w:t>
      </w:r>
      <w:hyperlink r:id="rId24" w:history="1">
        <w:r w:rsidRPr="00C85B4A">
          <w:rPr>
            <w:rStyle w:val="Hyperlink"/>
            <w:rFonts w:ascii="Arial" w:eastAsia="Calibri" w:hAnsi="Arial" w:cs="Arial"/>
            <w:sz w:val="22"/>
            <w:szCs w:val="22"/>
          </w:rPr>
          <w:t>https://www.ncbi.nlm.nih.gov/books/NBK551677/</w:t>
        </w:r>
      </w:hyperlink>
      <w:r>
        <w:rPr>
          <w:rFonts w:ascii="Arial" w:eastAsia="Calibri" w:hAnsi="Arial" w:cs="Arial"/>
          <w:sz w:val="22"/>
          <w:szCs w:val="22"/>
        </w:rPr>
        <w:t xml:space="preserve"> [A13.2]</w:t>
      </w:r>
    </w:p>
    <w:p w14:paraId="1E85920B" w14:textId="0D0B1173"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Christensen, A. M. and C. M. Crowder (2009) Evidentiary standards for forensic anthropology.  Journal of Forensic Sciences 54:1211-1216.  [A13.1, A13.2, A15.1]</w:t>
      </w:r>
    </w:p>
    <w:p w14:paraId="124629DB" w14:textId="0457F3B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Galloway, A., Birkby, W. H., Kahana, T., &amp; Fulginiti, L. (1990). Physical anthropology and the law: legal responsibilities of forensic anthropologists. American journal of physical anthropology, 33(S11), 39-57. [A13.1, A13.2]</w:t>
      </w:r>
    </w:p>
    <w:p w14:paraId="7D503FB2" w14:textId="0DCA78C3"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 xml:space="preserve">ASTM International Forensic Science Standards (listed below) are available at no cost to practitioners. To access the recommended standards below, examinees need to create an ASTM account or login to an existing account here: </w:t>
      </w:r>
      <w:hyperlink r:id="rId25" w:history="1">
        <w:r w:rsidRPr="00771DB2">
          <w:rPr>
            <w:rStyle w:val="Hyperlink"/>
            <w:rFonts w:ascii="Arial" w:eastAsia="Calibri" w:hAnsi="Arial" w:cs="Arial"/>
            <w:sz w:val="22"/>
            <w:szCs w:val="22"/>
          </w:rPr>
          <w:t>https://www.nist.gov/osac/astm-launch-code</w:t>
        </w:r>
      </w:hyperlink>
    </w:p>
    <w:p w14:paraId="0AA8798B" w14:textId="77777777" w:rsidR="005B42C9" w:rsidRPr="005B42C9" w:rsidRDefault="005B42C9" w:rsidP="002068AC">
      <w:pPr>
        <w:spacing w:after="240"/>
        <w:ind w:left="360" w:hanging="360"/>
        <w:jc w:val="both"/>
        <w:rPr>
          <w:rFonts w:ascii="Arial" w:eastAsia="Calibri" w:hAnsi="Arial" w:cs="Arial"/>
          <w:sz w:val="22"/>
          <w:szCs w:val="22"/>
        </w:rPr>
      </w:pPr>
      <w:r w:rsidRPr="005B42C9">
        <w:rPr>
          <w:rFonts w:ascii="Arial" w:eastAsia="Calibri" w:hAnsi="Arial" w:cs="Arial"/>
          <w:sz w:val="22"/>
          <w:szCs w:val="22"/>
        </w:rPr>
        <w:t>●</w:t>
      </w:r>
      <w:r w:rsidRPr="005B42C9">
        <w:rPr>
          <w:rFonts w:ascii="Arial" w:eastAsia="Calibri" w:hAnsi="Arial" w:cs="Arial"/>
          <w:sz w:val="22"/>
          <w:szCs w:val="22"/>
        </w:rPr>
        <w:tab/>
        <w:t>ASTM International E1492-11. (2017). Standard Practice for Receiving, Documenting, Storing, and Retrieving Evidence in a Forensic Science Laboratory. [A13.2]</w:t>
      </w:r>
    </w:p>
    <w:p w14:paraId="7C4B6FEE" w14:textId="77777777" w:rsidR="005B42C9" w:rsidRPr="005B42C9" w:rsidRDefault="005B42C9" w:rsidP="002068AC">
      <w:pPr>
        <w:spacing w:after="240"/>
        <w:ind w:left="360" w:hanging="360"/>
        <w:jc w:val="both"/>
        <w:rPr>
          <w:rFonts w:ascii="Arial" w:eastAsia="Calibri" w:hAnsi="Arial" w:cs="Arial"/>
          <w:sz w:val="22"/>
          <w:szCs w:val="22"/>
        </w:rPr>
      </w:pPr>
      <w:r w:rsidRPr="005B42C9">
        <w:rPr>
          <w:rFonts w:ascii="Arial" w:eastAsia="Calibri" w:hAnsi="Arial" w:cs="Arial"/>
          <w:sz w:val="22"/>
          <w:szCs w:val="22"/>
        </w:rPr>
        <w:t>●</w:t>
      </w:r>
      <w:r w:rsidRPr="005B42C9">
        <w:rPr>
          <w:rFonts w:ascii="Arial" w:eastAsia="Calibri" w:hAnsi="Arial" w:cs="Arial"/>
          <w:sz w:val="22"/>
          <w:szCs w:val="22"/>
        </w:rPr>
        <w:tab/>
        <w:t>ASTM International E1459-24. Standard Guide for Physical Evidence Labeling and Related Documentation. [A13.2]</w:t>
      </w:r>
    </w:p>
    <w:p w14:paraId="4F488867" w14:textId="64D15A13" w:rsidR="005B42C9" w:rsidRPr="005B42C9" w:rsidRDefault="005B42C9" w:rsidP="002068AC">
      <w:pPr>
        <w:spacing w:after="240"/>
        <w:ind w:left="360" w:hanging="360"/>
        <w:jc w:val="both"/>
        <w:rPr>
          <w:rFonts w:ascii="Arial" w:eastAsia="Calibri" w:hAnsi="Arial" w:cs="Arial"/>
          <w:sz w:val="22"/>
          <w:szCs w:val="22"/>
        </w:rPr>
      </w:pPr>
      <w:r w:rsidRPr="005B42C9">
        <w:rPr>
          <w:rFonts w:ascii="Arial" w:eastAsia="Calibri" w:hAnsi="Arial" w:cs="Arial"/>
          <w:sz w:val="22"/>
          <w:szCs w:val="22"/>
        </w:rPr>
        <w:t>●</w:t>
      </w:r>
      <w:r w:rsidRPr="005B42C9">
        <w:rPr>
          <w:rFonts w:ascii="Arial" w:eastAsia="Calibri" w:hAnsi="Arial" w:cs="Arial"/>
          <w:sz w:val="22"/>
          <w:szCs w:val="22"/>
        </w:rPr>
        <w:tab/>
        <w:t xml:space="preserve">ASTM International E860-22. Standard Practice for Examining </w:t>
      </w:r>
      <w:proofErr w:type="gramStart"/>
      <w:r w:rsidRPr="005B42C9">
        <w:rPr>
          <w:rFonts w:ascii="Arial" w:eastAsia="Calibri" w:hAnsi="Arial" w:cs="Arial"/>
          <w:sz w:val="22"/>
          <w:szCs w:val="22"/>
        </w:rPr>
        <w:t>And</w:t>
      </w:r>
      <w:proofErr w:type="gramEnd"/>
      <w:r w:rsidRPr="005B42C9">
        <w:rPr>
          <w:rFonts w:ascii="Arial" w:eastAsia="Calibri" w:hAnsi="Arial" w:cs="Arial"/>
          <w:sz w:val="22"/>
          <w:szCs w:val="22"/>
        </w:rPr>
        <w:t xml:space="preserve"> Preparing Items That Are </w:t>
      </w:r>
      <w:proofErr w:type="gramStart"/>
      <w:r w:rsidRPr="005B42C9">
        <w:rPr>
          <w:rFonts w:ascii="Arial" w:eastAsia="Calibri" w:hAnsi="Arial" w:cs="Arial"/>
          <w:sz w:val="22"/>
          <w:szCs w:val="22"/>
        </w:rPr>
        <w:t>Or</w:t>
      </w:r>
      <w:proofErr w:type="gramEnd"/>
      <w:r w:rsidRPr="005B42C9">
        <w:rPr>
          <w:rFonts w:ascii="Arial" w:eastAsia="Calibri" w:hAnsi="Arial" w:cs="Arial"/>
          <w:sz w:val="22"/>
          <w:szCs w:val="22"/>
        </w:rPr>
        <w:t xml:space="preserve"> May Become Involved </w:t>
      </w:r>
      <w:proofErr w:type="gramStart"/>
      <w:r w:rsidRPr="005B42C9">
        <w:rPr>
          <w:rFonts w:ascii="Arial" w:eastAsia="Calibri" w:hAnsi="Arial" w:cs="Arial"/>
          <w:sz w:val="22"/>
          <w:szCs w:val="22"/>
        </w:rPr>
        <w:t>In</w:t>
      </w:r>
      <w:proofErr w:type="gramEnd"/>
      <w:r w:rsidRPr="005B42C9">
        <w:rPr>
          <w:rFonts w:ascii="Arial" w:eastAsia="Calibri" w:hAnsi="Arial" w:cs="Arial"/>
          <w:sz w:val="22"/>
          <w:szCs w:val="22"/>
        </w:rPr>
        <w:t xml:space="preserve"> Criminal or Civil Litigation. [A13.1]</w:t>
      </w:r>
    </w:p>
    <w:p w14:paraId="6B8E02A5" w14:textId="77777777" w:rsidR="005B42C9" w:rsidRPr="005B42C9" w:rsidRDefault="005B42C9" w:rsidP="002068AC">
      <w:pPr>
        <w:spacing w:after="240"/>
        <w:jc w:val="both"/>
        <w:rPr>
          <w:rFonts w:ascii="Arial" w:eastAsia="Calibri" w:hAnsi="Arial" w:cs="Arial"/>
          <w:sz w:val="22"/>
          <w:szCs w:val="22"/>
        </w:rPr>
      </w:pPr>
    </w:p>
    <w:p w14:paraId="420873B2" w14:textId="77777777" w:rsidR="005B42C9" w:rsidRPr="005B42C9" w:rsidRDefault="005B42C9" w:rsidP="002068AC">
      <w:pPr>
        <w:spacing w:after="240"/>
        <w:jc w:val="both"/>
        <w:rPr>
          <w:rFonts w:ascii="Arial" w:eastAsia="Calibri" w:hAnsi="Arial" w:cs="Arial"/>
          <w:sz w:val="22"/>
          <w:szCs w:val="22"/>
        </w:rPr>
      </w:pPr>
    </w:p>
    <w:p w14:paraId="594B41F7" w14:textId="77777777" w:rsidR="005B42C9" w:rsidRPr="005B42C9" w:rsidRDefault="005B42C9" w:rsidP="002068AC">
      <w:pPr>
        <w:jc w:val="both"/>
        <w:rPr>
          <w:rFonts w:ascii="Arial" w:eastAsia="Calibri" w:hAnsi="Arial" w:cs="Arial"/>
          <w:sz w:val="22"/>
          <w:szCs w:val="22"/>
        </w:rPr>
      </w:pPr>
    </w:p>
    <w:p w14:paraId="372E7374" w14:textId="77777777" w:rsidR="005B42C9" w:rsidRPr="005B42C9" w:rsidRDefault="005B42C9" w:rsidP="002068AC">
      <w:pPr>
        <w:jc w:val="both"/>
        <w:rPr>
          <w:rFonts w:ascii="Arial" w:eastAsia="Calibri" w:hAnsi="Arial" w:cs="Arial"/>
          <w:sz w:val="22"/>
          <w:szCs w:val="22"/>
        </w:rPr>
      </w:pPr>
    </w:p>
    <w:p w14:paraId="0C0FF100" w14:textId="77777777" w:rsidR="005B42C9" w:rsidRPr="005B42C9" w:rsidRDefault="005B42C9" w:rsidP="002068AC">
      <w:pPr>
        <w:jc w:val="both"/>
        <w:rPr>
          <w:rFonts w:ascii="Arial" w:eastAsia="Calibri" w:hAnsi="Arial" w:cs="Arial"/>
          <w:sz w:val="22"/>
          <w:szCs w:val="22"/>
        </w:rPr>
      </w:pPr>
    </w:p>
    <w:p w14:paraId="5A9D47E4" w14:textId="77777777" w:rsidR="005B42C9" w:rsidRPr="005B42C9" w:rsidRDefault="005B42C9" w:rsidP="002068AC">
      <w:pPr>
        <w:jc w:val="both"/>
        <w:rPr>
          <w:rFonts w:ascii="Arial" w:eastAsia="Calibri" w:hAnsi="Arial" w:cs="Arial"/>
          <w:sz w:val="22"/>
          <w:szCs w:val="22"/>
        </w:rPr>
      </w:pPr>
    </w:p>
    <w:p w14:paraId="5EDBED30" w14:textId="77777777" w:rsidR="005B42C9" w:rsidRPr="005B42C9" w:rsidRDefault="005B42C9" w:rsidP="002068AC">
      <w:pPr>
        <w:jc w:val="both"/>
        <w:rPr>
          <w:rFonts w:ascii="Arial" w:eastAsia="Calibri" w:hAnsi="Arial" w:cs="Arial"/>
          <w:sz w:val="22"/>
          <w:szCs w:val="22"/>
        </w:rPr>
      </w:pPr>
    </w:p>
    <w:p w14:paraId="73ED534F" w14:textId="77777777" w:rsidR="005B42C9" w:rsidRDefault="005B42C9" w:rsidP="002068AC">
      <w:pPr>
        <w:jc w:val="both"/>
        <w:rPr>
          <w:rFonts w:ascii="Arial" w:eastAsia="Calibri" w:hAnsi="Arial" w:cs="Arial"/>
          <w:sz w:val="22"/>
          <w:szCs w:val="22"/>
        </w:rPr>
      </w:pPr>
    </w:p>
    <w:p w14:paraId="44838934" w14:textId="77777777" w:rsidR="00310CDF" w:rsidRDefault="00310CDF" w:rsidP="002068AC">
      <w:pPr>
        <w:jc w:val="both"/>
        <w:rPr>
          <w:rFonts w:ascii="Arial" w:eastAsia="Calibri" w:hAnsi="Arial" w:cs="Arial"/>
          <w:sz w:val="22"/>
          <w:szCs w:val="22"/>
        </w:rPr>
      </w:pPr>
    </w:p>
    <w:p w14:paraId="22128999" w14:textId="77777777" w:rsidR="00310CDF" w:rsidRDefault="00310CDF" w:rsidP="002068AC">
      <w:pPr>
        <w:jc w:val="both"/>
        <w:rPr>
          <w:rFonts w:ascii="Arial" w:eastAsia="Calibri" w:hAnsi="Arial" w:cs="Arial"/>
          <w:sz w:val="22"/>
          <w:szCs w:val="22"/>
        </w:rPr>
      </w:pPr>
    </w:p>
    <w:p w14:paraId="68BB720F" w14:textId="77777777" w:rsidR="00310CDF" w:rsidRDefault="00310CDF" w:rsidP="002068AC">
      <w:pPr>
        <w:jc w:val="both"/>
        <w:rPr>
          <w:rFonts w:ascii="Arial" w:eastAsia="Calibri" w:hAnsi="Arial" w:cs="Arial"/>
          <w:sz w:val="22"/>
          <w:szCs w:val="22"/>
        </w:rPr>
      </w:pPr>
    </w:p>
    <w:p w14:paraId="5A6C965F" w14:textId="77777777" w:rsidR="00310CDF" w:rsidRDefault="00310CDF" w:rsidP="002068AC">
      <w:pPr>
        <w:jc w:val="both"/>
        <w:rPr>
          <w:rFonts w:ascii="Arial" w:eastAsia="Calibri" w:hAnsi="Arial" w:cs="Arial"/>
          <w:sz w:val="22"/>
          <w:szCs w:val="22"/>
        </w:rPr>
      </w:pPr>
    </w:p>
    <w:p w14:paraId="0F4BBA51" w14:textId="77777777" w:rsidR="00310CDF" w:rsidRDefault="00310CDF" w:rsidP="002068AC">
      <w:pPr>
        <w:jc w:val="both"/>
        <w:rPr>
          <w:rFonts w:ascii="Arial" w:eastAsia="Calibri" w:hAnsi="Arial" w:cs="Arial"/>
          <w:sz w:val="22"/>
          <w:szCs w:val="22"/>
        </w:rPr>
      </w:pPr>
    </w:p>
    <w:p w14:paraId="53CBB712" w14:textId="77777777" w:rsidR="00310CDF" w:rsidRDefault="00310CDF" w:rsidP="002068AC">
      <w:pPr>
        <w:jc w:val="both"/>
        <w:rPr>
          <w:rFonts w:ascii="Arial" w:eastAsia="Calibri" w:hAnsi="Arial" w:cs="Arial"/>
          <w:sz w:val="22"/>
          <w:szCs w:val="22"/>
        </w:rPr>
      </w:pPr>
    </w:p>
    <w:p w14:paraId="0A505911" w14:textId="77777777" w:rsidR="00771DB2" w:rsidRDefault="00771DB2" w:rsidP="002068AC">
      <w:pPr>
        <w:jc w:val="both"/>
        <w:rPr>
          <w:rFonts w:ascii="Arial" w:eastAsia="Calibri" w:hAnsi="Arial" w:cs="Arial"/>
          <w:sz w:val="22"/>
          <w:szCs w:val="22"/>
        </w:rPr>
      </w:pPr>
    </w:p>
    <w:p w14:paraId="02EBF254" w14:textId="77777777" w:rsidR="00771DB2" w:rsidRPr="005B42C9" w:rsidRDefault="00771DB2" w:rsidP="002068AC">
      <w:pPr>
        <w:jc w:val="both"/>
        <w:rPr>
          <w:rFonts w:ascii="Arial" w:eastAsia="Calibri" w:hAnsi="Arial" w:cs="Arial"/>
          <w:sz w:val="22"/>
          <w:szCs w:val="22"/>
        </w:rPr>
      </w:pPr>
    </w:p>
    <w:p w14:paraId="72A1F67B" w14:textId="77777777" w:rsidR="005B42C9" w:rsidRPr="005B42C9" w:rsidRDefault="005B42C9" w:rsidP="002068AC">
      <w:pPr>
        <w:jc w:val="both"/>
        <w:rPr>
          <w:rFonts w:ascii="Arial" w:eastAsia="Calibri" w:hAnsi="Arial" w:cs="Arial"/>
          <w:sz w:val="22"/>
          <w:szCs w:val="22"/>
        </w:rPr>
      </w:pPr>
    </w:p>
    <w:p w14:paraId="2316AE82" w14:textId="7038C59E" w:rsidR="00C90799" w:rsidRDefault="005B42C9" w:rsidP="002068AC">
      <w:pPr>
        <w:jc w:val="both"/>
        <w:rPr>
          <w:rFonts w:ascii="Arial" w:eastAsia="Calibri" w:hAnsi="Arial" w:cs="Arial"/>
          <w:b/>
          <w:bCs/>
        </w:rPr>
      </w:pPr>
      <w:r w:rsidRPr="00C90799">
        <w:rPr>
          <w:rFonts w:ascii="Arial" w:eastAsia="Calibri" w:hAnsi="Arial" w:cs="Arial"/>
          <w:b/>
          <w:bCs/>
        </w:rPr>
        <w:t>14. Professional Standards, Laboratory Operations, &amp; Accreditation</w:t>
      </w:r>
    </w:p>
    <w:p w14:paraId="67E6A5C2" w14:textId="77777777" w:rsidR="00C90799" w:rsidRPr="00C90799" w:rsidRDefault="00C90799" w:rsidP="002068AC">
      <w:pPr>
        <w:jc w:val="both"/>
        <w:rPr>
          <w:rFonts w:ascii="Arial" w:eastAsia="Calibri" w:hAnsi="Arial" w:cs="Arial"/>
          <w:b/>
          <w:bC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75"/>
        <w:gridCol w:w="8565"/>
      </w:tblGrid>
      <w:tr w:rsidR="002F0E53" w:rsidRPr="002F0E53" w14:paraId="7CA7BE93" w14:textId="77777777" w:rsidTr="002F0E53">
        <w:trPr>
          <w:trHeight w:val="933"/>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888E7F" w14:textId="77777777" w:rsidR="002F0E53" w:rsidRPr="002F0E53" w:rsidRDefault="002F0E53" w:rsidP="002068AC">
            <w:pPr>
              <w:jc w:val="both"/>
              <w:rPr>
                <w:rFonts w:ascii="Arial" w:eastAsia="Calibri" w:hAnsi="Arial" w:cs="Arial"/>
                <w:sz w:val="22"/>
                <w:szCs w:val="22"/>
              </w:rPr>
            </w:pPr>
            <w:r w:rsidRPr="002F0E53">
              <w:rPr>
                <w:rFonts w:ascii="Arial" w:eastAsia="Calibri" w:hAnsi="Arial" w:cs="Arial"/>
                <w:sz w:val="22"/>
                <w:szCs w:val="22"/>
              </w:rPr>
              <w:t>A14.1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CF7AD2" w14:textId="192F68C9" w:rsidR="002F0E53" w:rsidRPr="002F0E53" w:rsidRDefault="002F0E53" w:rsidP="002068AC">
            <w:pPr>
              <w:jc w:val="both"/>
              <w:rPr>
                <w:rFonts w:ascii="Arial" w:eastAsia="Calibri" w:hAnsi="Arial" w:cs="Arial"/>
                <w:sz w:val="22"/>
                <w:szCs w:val="22"/>
              </w:rPr>
            </w:pPr>
            <w:r w:rsidRPr="002F0E53">
              <w:rPr>
                <w:rFonts w:ascii="Arial" w:eastAsia="Calibri" w:hAnsi="Arial" w:cs="Arial"/>
                <w:sz w:val="22"/>
                <w:szCs w:val="22"/>
              </w:rPr>
              <w:t>Explain professional standards and guidelines for best practices in Forensic Anthropology, including ANSI/ASB published Standards and Best Practices Recommendations, OSAC-proposed  documents.</w:t>
            </w:r>
          </w:p>
        </w:tc>
      </w:tr>
    </w:tbl>
    <w:p w14:paraId="476469C7" w14:textId="77777777" w:rsidR="005B42C9" w:rsidRPr="005B42C9" w:rsidRDefault="005B42C9" w:rsidP="002068AC">
      <w:pPr>
        <w:jc w:val="both"/>
        <w:rPr>
          <w:rFonts w:ascii="Arial" w:eastAsia="Calibri" w:hAnsi="Arial" w:cs="Arial"/>
          <w:sz w:val="22"/>
          <w:szCs w:val="22"/>
        </w:rPr>
      </w:pPr>
    </w:p>
    <w:p w14:paraId="1A2FA9A7" w14:textId="77777777" w:rsidR="005B42C9" w:rsidRPr="005B42C9" w:rsidRDefault="005B42C9" w:rsidP="002068AC">
      <w:pPr>
        <w:jc w:val="both"/>
        <w:rPr>
          <w:rFonts w:ascii="Arial" w:eastAsia="Calibri" w:hAnsi="Arial" w:cs="Arial"/>
          <w:sz w:val="22"/>
          <w:szCs w:val="22"/>
        </w:rPr>
      </w:pPr>
    </w:p>
    <w:p w14:paraId="318C1867" w14:textId="77777777" w:rsidR="005B42C9" w:rsidRPr="002F0E53" w:rsidRDefault="005B42C9" w:rsidP="002068AC">
      <w:pPr>
        <w:jc w:val="both"/>
        <w:rPr>
          <w:rFonts w:ascii="Arial" w:eastAsia="Calibri" w:hAnsi="Arial" w:cs="Arial"/>
          <w:b/>
          <w:bCs/>
          <w:sz w:val="22"/>
          <w:szCs w:val="22"/>
        </w:rPr>
      </w:pPr>
      <w:r w:rsidRPr="002F0E53">
        <w:rPr>
          <w:rFonts w:ascii="Arial" w:eastAsia="Calibri" w:hAnsi="Arial" w:cs="Arial"/>
          <w:b/>
          <w:bCs/>
          <w:sz w:val="22"/>
          <w:szCs w:val="22"/>
        </w:rPr>
        <w:t xml:space="preserve">References </w:t>
      </w:r>
    </w:p>
    <w:p w14:paraId="60B117C3" w14:textId="0F6325CD"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 xml:space="preserve">Scientific Working Group for Forensic Anthropology (SWGANTH):  </w:t>
      </w:r>
      <w:hyperlink r:id="rId26" w:history="1">
        <w:r w:rsidRPr="00F5713E">
          <w:rPr>
            <w:rStyle w:val="Hyperlink"/>
            <w:rFonts w:ascii="Arial" w:eastAsia="Calibri" w:hAnsi="Arial" w:cs="Arial"/>
            <w:sz w:val="22"/>
            <w:szCs w:val="22"/>
          </w:rPr>
          <w:t>https://www.nist.gov/osac/subcommittees/forensic-anthropology</w:t>
        </w:r>
      </w:hyperlink>
      <w:r w:rsidRPr="005B42C9">
        <w:rPr>
          <w:rFonts w:ascii="Arial" w:eastAsia="Calibri" w:hAnsi="Arial" w:cs="Arial"/>
          <w:sz w:val="22"/>
          <w:szCs w:val="22"/>
        </w:rPr>
        <w:t xml:space="preserve"> [A14.1]</w:t>
      </w:r>
    </w:p>
    <w:p w14:paraId="0ED5E7B3" w14:textId="540240F4"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 xml:space="preserve">AAFS Academy Standards Board (ASB): </w:t>
      </w:r>
      <w:hyperlink r:id="rId27" w:history="1">
        <w:r w:rsidRPr="00F5713E">
          <w:rPr>
            <w:rStyle w:val="Hyperlink"/>
            <w:rFonts w:ascii="Arial" w:eastAsia="Calibri" w:hAnsi="Arial" w:cs="Arial"/>
            <w:sz w:val="22"/>
            <w:szCs w:val="22"/>
          </w:rPr>
          <w:t>https://www.aafs.org/search/standards</w:t>
        </w:r>
      </w:hyperlink>
      <w:r w:rsidRPr="005B42C9">
        <w:rPr>
          <w:rFonts w:ascii="Arial" w:eastAsia="Calibri" w:hAnsi="Arial" w:cs="Arial"/>
          <w:sz w:val="22"/>
          <w:szCs w:val="22"/>
        </w:rPr>
        <w:t xml:space="preserve"> [A14.1]</w:t>
      </w:r>
    </w:p>
    <w:p w14:paraId="40BD94F5" w14:textId="05AADFEE"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 xml:space="preserve">NIST OSAC Document Registry: </w:t>
      </w:r>
      <w:hyperlink r:id="rId28" w:history="1">
        <w:r w:rsidRPr="00F5713E">
          <w:rPr>
            <w:rStyle w:val="Hyperlink"/>
            <w:rFonts w:ascii="Arial" w:eastAsia="Calibri" w:hAnsi="Arial" w:cs="Arial"/>
            <w:sz w:val="22"/>
            <w:szCs w:val="22"/>
          </w:rPr>
          <w:t xml:space="preserve">https://www.nist.gov/osac/registry </w:t>
        </w:r>
      </w:hyperlink>
      <w:r w:rsidRPr="005B42C9">
        <w:rPr>
          <w:rFonts w:ascii="Arial" w:eastAsia="Calibri" w:hAnsi="Arial" w:cs="Arial"/>
          <w:sz w:val="22"/>
          <w:szCs w:val="22"/>
        </w:rPr>
        <w:t xml:space="preserve"> [A14.1]</w:t>
      </w:r>
    </w:p>
    <w:p w14:paraId="44085B5D"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Fleischman, J. M., M. L. Pierce, and C. M. Crowder (2019). Transparency in forensic anthropology through the implementation of quality assurance practices. In: Forensic Anthropology and the United States Judicial System, 71-88. [A14.1]</w:t>
      </w:r>
    </w:p>
    <w:p w14:paraId="0FA5C8E4"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Pierce, M. L., J. M. Wiersema, and C. M. Crowder (2016) Progress in the accreditation of anthropology laboratories.  Academic Forensic Pathology 6(3):344-348. [A14.1]</w:t>
      </w:r>
    </w:p>
    <w:p w14:paraId="66189EF4"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Roberts, L. G., G. R. Dabbs, and J. R. Spencer (2016) An update on the hazards and risks of forensic anthropology, part I:  Human remains.  Journal of Forensic Sciences 61(51):S5-13. [A14.1]</w:t>
      </w:r>
    </w:p>
    <w:p w14:paraId="5996E575"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Warren, M. W., H. A. Walsh-Haney, and L. E. Freas. (2008). The Working Forensic Anthropology Laboratory. In: The Forensic Anthropology Laboratory, Warren, M. W., H. A. Walsh-Haney, and L. E. Freas, eds. CRC Press, Boca Raton, FL. pp. 195-212. [A14.1]</w:t>
      </w:r>
    </w:p>
    <w:p w14:paraId="0CEDAC26" w14:textId="77777777" w:rsidR="005B42C9" w:rsidRPr="005B42C9" w:rsidRDefault="005B42C9" w:rsidP="002068AC">
      <w:pPr>
        <w:jc w:val="both"/>
        <w:rPr>
          <w:rFonts w:ascii="Arial" w:eastAsia="Calibri" w:hAnsi="Arial" w:cs="Arial"/>
          <w:sz w:val="22"/>
          <w:szCs w:val="22"/>
        </w:rPr>
      </w:pPr>
    </w:p>
    <w:p w14:paraId="14F1DDD6" w14:textId="77777777" w:rsidR="005B42C9" w:rsidRPr="005B42C9" w:rsidRDefault="005B42C9" w:rsidP="002068AC">
      <w:pPr>
        <w:jc w:val="both"/>
        <w:rPr>
          <w:rFonts w:ascii="Arial" w:eastAsia="Calibri" w:hAnsi="Arial" w:cs="Arial"/>
          <w:sz w:val="22"/>
          <w:szCs w:val="22"/>
        </w:rPr>
      </w:pPr>
    </w:p>
    <w:p w14:paraId="1DD81EC8" w14:textId="77777777" w:rsidR="005B42C9" w:rsidRPr="005B42C9" w:rsidRDefault="005B42C9" w:rsidP="002068AC">
      <w:pPr>
        <w:jc w:val="both"/>
        <w:rPr>
          <w:rFonts w:ascii="Arial" w:eastAsia="Calibri" w:hAnsi="Arial" w:cs="Arial"/>
          <w:sz w:val="22"/>
          <w:szCs w:val="22"/>
        </w:rPr>
      </w:pPr>
    </w:p>
    <w:p w14:paraId="07218F70" w14:textId="77777777" w:rsidR="005B42C9" w:rsidRPr="005B42C9" w:rsidRDefault="005B42C9" w:rsidP="002068AC">
      <w:pPr>
        <w:jc w:val="both"/>
        <w:rPr>
          <w:rFonts w:ascii="Arial" w:eastAsia="Calibri" w:hAnsi="Arial" w:cs="Arial"/>
          <w:sz w:val="22"/>
          <w:szCs w:val="22"/>
        </w:rPr>
      </w:pPr>
    </w:p>
    <w:p w14:paraId="2D8878AE" w14:textId="77777777" w:rsidR="005B42C9" w:rsidRPr="005B42C9" w:rsidRDefault="005B42C9" w:rsidP="002068AC">
      <w:pPr>
        <w:jc w:val="both"/>
        <w:rPr>
          <w:rFonts w:ascii="Arial" w:eastAsia="Calibri" w:hAnsi="Arial" w:cs="Arial"/>
          <w:sz w:val="22"/>
          <w:szCs w:val="22"/>
        </w:rPr>
      </w:pPr>
    </w:p>
    <w:p w14:paraId="678A7F81" w14:textId="77777777" w:rsidR="005B42C9" w:rsidRPr="005B42C9" w:rsidRDefault="005B42C9" w:rsidP="002068AC">
      <w:pPr>
        <w:jc w:val="both"/>
        <w:rPr>
          <w:rFonts w:ascii="Arial" w:eastAsia="Calibri" w:hAnsi="Arial" w:cs="Arial"/>
          <w:sz w:val="22"/>
          <w:szCs w:val="22"/>
        </w:rPr>
      </w:pPr>
    </w:p>
    <w:p w14:paraId="474A5EF7" w14:textId="77777777" w:rsidR="005B42C9" w:rsidRPr="005B42C9" w:rsidRDefault="005B42C9" w:rsidP="002068AC">
      <w:pPr>
        <w:jc w:val="both"/>
        <w:rPr>
          <w:rFonts w:ascii="Arial" w:eastAsia="Calibri" w:hAnsi="Arial" w:cs="Arial"/>
          <w:sz w:val="22"/>
          <w:szCs w:val="22"/>
        </w:rPr>
      </w:pPr>
    </w:p>
    <w:p w14:paraId="0B2A012D" w14:textId="77777777" w:rsidR="005B42C9" w:rsidRPr="005B42C9" w:rsidRDefault="005B42C9" w:rsidP="002068AC">
      <w:pPr>
        <w:jc w:val="both"/>
        <w:rPr>
          <w:rFonts w:ascii="Arial" w:eastAsia="Calibri" w:hAnsi="Arial" w:cs="Arial"/>
          <w:sz w:val="22"/>
          <w:szCs w:val="22"/>
        </w:rPr>
      </w:pPr>
    </w:p>
    <w:p w14:paraId="657BCDD9" w14:textId="77777777" w:rsidR="005B42C9" w:rsidRPr="005B42C9" w:rsidRDefault="005B42C9" w:rsidP="002068AC">
      <w:pPr>
        <w:jc w:val="both"/>
        <w:rPr>
          <w:rFonts w:ascii="Arial" w:eastAsia="Calibri" w:hAnsi="Arial" w:cs="Arial"/>
          <w:sz w:val="22"/>
          <w:szCs w:val="22"/>
        </w:rPr>
      </w:pPr>
    </w:p>
    <w:p w14:paraId="5994E801" w14:textId="77777777" w:rsidR="005B42C9" w:rsidRPr="005B42C9" w:rsidRDefault="005B42C9" w:rsidP="002068AC">
      <w:pPr>
        <w:jc w:val="both"/>
        <w:rPr>
          <w:rFonts w:ascii="Arial" w:eastAsia="Calibri" w:hAnsi="Arial" w:cs="Arial"/>
          <w:sz w:val="22"/>
          <w:szCs w:val="22"/>
        </w:rPr>
      </w:pPr>
    </w:p>
    <w:p w14:paraId="409556F7" w14:textId="77777777" w:rsidR="005B42C9" w:rsidRPr="005B42C9" w:rsidRDefault="005B42C9" w:rsidP="002068AC">
      <w:pPr>
        <w:jc w:val="both"/>
        <w:rPr>
          <w:rFonts w:ascii="Arial" w:eastAsia="Calibri" w:hAnsi="Arial" w:cs="Arial"/>
          <w:sz w:val="22"/>
          <w:szCs w:val="22"/>
        </w:rPr>
      </w:pPr>
    </w:p>
    <w:p w14:paraId="3C360B16" w14:textId="77777777" w:rsidR="005B42C9" w:rsidRPr="005B42C9" w:rsidRDefault="005B42C9" w:rsidP="002068AC">
      <w:pPr>
        <w:jc w:val="both"/>
        <w:rPr>
          <w:rFonts w:ascii="Arial" w:eastAsia="Calibri" w:hAnsi="Arial" w:cs="Arial"/>
          <w:sz w:val="22"/>
          <w:szCs w:val="22"/>
        </w:rPr>
      </w:pPr>
    </w:p>
    <w:p w14:paraId="00541E2B" w14:textId="77777777" w:rsidR="005B42C9" w:rsidRPr="005B42C9" w:rsidRDefault="005B42C9" w:rsidP="002068AC">
      <w:pPr>
        <w:jc w:val="both"/>
        <w:rPr>
          <w:rFonts w:ascii="Arial" w:eastAsia="Calibri" w:hAnsi="Arial" w:cs="Arial"/>
          <w:sz w:val="22"/>
          <w:szCs w:val="22"/>
        </w:rPr>
      </w:pPr>
    </w:p>
    <w:p w14:paraId="3615FC90" w14:textId="77777777" w:rsidR="005B42C9" w:rsidRPr="005B42C9" w:rsidRDefault="005B42C9" w:rsidP="002068AC">
      <w:pPr>
        <w:jc w:val="both"/>
        <w:rPr>
          <w:rFonts w:ascii="Arial" w:eastAsia="Calibri" w:hAnsi="Arial" w:cs="Arial"/>
          <w:sz w:val="22"/>
          <w:szCs w:val="22"/>
        </w:rPr>
      </w:pPr>
    </w:p>
    <w:p w14:paraId="0486E8D9" w14:textId="77777777" w:rsidR="005B42C9" w:rsidRPr="005B42C9" w:rsidRDefault="005B42C9" w:rsidP="002068AC">
      <w:pPr>
        <w:jc w:val="both"/>
        <w:rPr>
          <w:rFonts w:ascii="Arial" w:eastAsia="Calibri" w:hAnsi="Arial" w:cs="Arial"/>
          <w:sz w:val="22"/>
          <w:szCs w:val="22"/>
        </w:rPr>
      </w:pPr>
    </w:p>
    <w:p w14:paraId="469F881A" w14:textId="77777777" w:rsidR="005B42C9" w:rsidRPr="005B42C9" w:rsidRDefault="005B42C9" w:rsidP="002068AC">
      <w:pPr>
        <w:jc w:val="both"/>
        <w:rPr>
          <w:rFonts w:ascii="Arial" w:eastAsia="Calibri" w:hAnsi="Arial" w:cs="Arial"/>
          <w:sz w:val="22"/>
          <w:szCs w:val="22"/>
        </w:rPr>
      </w:pPr>
    </w:p>
    <w:p w14:paraId="71351AEB" w14:textId="77777777" w:rsidR="005B42C9" w:rsidRPr="005B42C9" w:rsidRDefault="005B42C9" w:rsidP="002068AC">
      <w:pPr>
        <w:jc w:val="both"/>
        <w:rPr>
          <w:rFonts w:ascii="Arial" w:eastAsia="Calibri" w:hAnsi="Arial" w:cs="Arial"/>
          <w:sz w:val="22"/>
          <w:szCs w:val="22"/>
        </w:rPr>
      </w:pPr>
    </w:p>
    <w:p w14:paraId="1D56A288" w14:textId="77777777" w:rsidR="005B42C9" w:rsidRPr="005B42C9" w:rsidRDefault="005B42C9" w:rsidP="002068AC">
      <w:pPr>
        <w:jc w:val="both"/>
        <w:rPr>
          <w:rFonts w:ascii="Arial" w:eastAsia="Calibri" w:hAnsi="Arial" w:cs="Arial"/>
          <w:sz w:val="22"/>
          <w:szCs w:val="22"/>
        </w:rPr>
      </w:pPr>
    </w:p>
    <w:p w14:paraId="1FA60A4F" w14:textId="77777777" w:rsidR="005B42C9" w:rsidRDefault="005B42C9" w:rsidP="002068AC">
      <w:pPr>
        <w:jc w:val="both"/>
        <w:rPr>
          <w:rFonts w:ascii="Arial" w:eastAsia="Calibri" w:hAnsi="Arial" w:cs="Arial"/>
          <w:sz w:val="22"/>
          <w:szCs w:val="22"/>
        </w:rPr>
      </w:pPr>
    </w:p>
    <w:p w14:paraId="0A4B8D2B" w14:textId="77777777" w:rsidR="002F0E53" w:rsidRPr="005B42C9" w:rsidRDefault="002F0E53" w:rsidP="002068AC">
      <w:pPr>
        <w:jc w:val="both"/>
        <w:rPr>
          <w:rFonts w:ascii="Arial" w:eastAsia="Calibri" w:hAnsi="Arial" w:cs="Arial"/>
          <w:sz w:val="22"/>
          <w:szCs w:val="22"/>
        </w:rPr>
      </w:pPr>
    </w:p>
    <w:p w14:paraId="3FE63671" w14:textId="77777777" w:rsidR="005B42C9" w:rsidRDefault="005B42C9" w:rsidP="002068AC">
      <w:pPr>
        <w:jc w:val="both"/>
        <w:rPr>
          <w:rFonts w:ascii="Arial" w:eastAsia="Calibri" w:hAnsi="Arial" w:cs="Arial"/>
          <w:b/>
          <w:bCs/>
        </w:rPr>
      </w:pPr>
      <w:r w:rsidRPr="00C90799">
        <w:rPr>
          <w:rFonts w:ascii="Arial" w:eastAsia="Calibri" w:hAnsi="Arial" w:cs="Arial"/>
          <w:b/>
          <w:bCs/>
        </w:rPr>
        <w:t xml:space="preserve">15. Legal Issues, including Expert Testimony &amp; Courtroom Procedures </w:t>
      </w:r>
    </w:p>
    <w:p w14:paraId="5A4B90CD" w14:textId="77777777" w:rsidR="00C90799" w:rsidRPr="00C90799" w:rsidRDefault="00C90799" w:rsidP="002068AC">
      <w:pPr>
        <w:jc w:val="both"/>
        <w:rPr>
          <w:rFonts w:ascii="Arial" w:eastAsia="Calibri" w:hAnsi="Arial" w:cs="Arial"/>
          <w:b/>
          <w:bCs/>
        </w:rPr>
      </w:pPr>
    </w:p>
    <w:tbl>
      <w:tblPr>
        <w:tblW w:w="0" w:type="auto"/>
        <w:tblCellMar>
          <w:top w:w="15" w:type="dxa"/>
          <w:left w:w="15" w:type="dxa"/>
          <w:bottom w:w="15" w:type="dxa"/>
          <w:right w:w="15" w:type="dxa"/>
        </w:tblCellMar>
        <w:tblLook w:val="04A0" w:firstRow="1" w:lastRow="0" w:firstColumn="1" w:lastColumn="0" w:noHBand="0" w:noVBand="1"/>
      </w:tblPr>
      <w:tblGrid>
        <w:gridCol w:w="775"/>
        <w:gridCol w:w="8565"/>
      </w:tblGrid>
      <w:tr w:rsidR="00315447" w:rsidRPr="00315447" w14:paraId="57D0802A" w14:textId="77777777" w:rsidTr="00EB574F">
        <w:trPr>
          <w:trHeight w:val="9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EF1C81" w14:textId="77777777" w:rsidR="00315447" w:rsidRPr="00315447" w:rsidRDefault="00315447" w:rsidP="002068AC">
            <w:pPr>
              <w:jc w:val="both"/>
              <w:rPr>
                <w:rFonts w:ascii="Arial" w:eastAsia="Calibri" w:hAnsi="Arial" w:cs="Arial"/>
                <w:sz w:val="22"/>
                <w:szCs w:val="22"/>
              </w:rPr>
            </w:pPr>
            <w:r w:rsidRPr="00315447">
              <w:rPr>
                <w:rFonts w:ascii="Arial" w:eastAsia="Calibri" w:hAnsi="Arial" w:cs="Arial"/>
                <w:sz w:val="22"/>
                <w:szCs w:val="22"/>
              </w:rPr>
              <w:t>A15.1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2558E7" w14:textId="3B7732AE" w:rsidR="00315447" w:rsidRPr="00315447" w:rsidRDefault="00315447" w:rsidP="002068AC">
            <w:pPr>
              <w:jc w:val="both"/>
              <w:rPr>
                <w:rFonts w:ascii="Arial" w:eastAsia="Calibri" w:hAnsi="Arial" w:cs="Arial"/>
                <w:sz w:val="22"/>
                <w:szCs w:val="22"/>
              </w:rPr>
            </w:pPr>
            <w:r w:rsidRPr="00315447">
              <w:rPr>
                <w:rFonts w:ascii="Arial" w:eastAsia="Calibri" w:hAnsi="Arial" w:cs="Arial"/>
                <w:sz w:val="22"/>
                <w:szCs w:val="22"/>
              </w:rPr>
              <w:t>Summarize landmark court decisions and relevant Federal Rules of Evidence, including how they</w:t>
            </w:r>
            <w:r>
              <w:rPr>
                <w:rFonts w:ascii="Arial" w:eastAsia="Calibri" w:hAnsi="Arial" w:cs="Arial"/>
                <w:sz w:val="22"/>
                <w:szCs w:val="22"/>
              </w:rPr>
              <w:t xml:space="preserve"> </w:t>
            </w:r>
            <w:r w:rsidRPr="00315447">
              <w:rPr>
                <w:rFonts w:ascii="Arial" w:eastAsia="Calibri" w:hAnsi="Arial" w:cs="Arial"/>
                <w:sz w:val="22"/>
                <w:szCs w:val="22"/>
              </w:rPr>
              <w:t>impact expert witness testimony, evidentiary standards for admissibility, and forensic anthropology  practice.</w:t>
            </w:r>
          </w:p>
        </w:tc>
      </w:tr>
    </w:tbl>
    <w:p w14:paraId="723ADB65" w14:textId="77777777" w:rsidR="005B42C9" w:rsidRPr="005B42C9" w:rsidRDefault="005B42C9" w:rsidP="002068AC">
      <w:pPr>
        <w:jc w:val="both"/>
        <w:rPr>
          <w:rFonts w:ascii="Arial" w:eastAsia="Calibri" w:hAnsi="Arial" w:cs="Arial"/>
          <w:sz w:val="22"/>
          <w:szCs w:val="22"/>
        </w:rPr>
      </w:pPr>
    </w:p>
    <w:p w14:paraId="311D2C69" w14:textId="77777777" w:rsidR="005B42C9" w:rsidRPr="005B42C9" w:rsidRDefault="005B42C9" w:rsidP="002068AC">
      <w:pPr>
        <w:jc w:val="both"/>
        <w:rPr>
          <w:rFonts w:ascii="Arial" w:eastAsia="Calibri" w:hAnsi="Arial" w:cs="Arial"/>
          <w:sz w:val="22"/>
          <w:szCs w:val="22"/>
        </w:rPr>
      </w:pPr>
    </w:p>
    <w:p w14:paraId="473D7BBB" w14:textId="77777777" w:rsidR="005B42C9" w:rsidRPr="00315447" w:rsidRDefault="005B42C9" w:rsidP="002068AC">
      <w:pPr>
        <w:jc w:val="both"/>
        <w:rPr>
          <w:rFonts w:ascii="Arial" w:eastAsia="Calibri" w:hAnsi="Arial" w:cs="Arial"/>
          <w:b/>
          <w:bCs/>
          <w:sz w:val="22"/>
          <w:szCs w:val="22"/>
        </w:rPr>
      </w:pPr>
      <w:r w:rsidRPr="00315447">
        <w:rPr>
          <w:rFonts w:ascii="Arial" w:eastAsia="Calibri" w:hAnsi="Arial" w:cs="Arial"/>
          <w:b/>
          <w:bCs/>
          <w:sz w:val="22"/>
          <w:szCs w:val="22"/>
        </w:rPr>
        <w:t xml:space="preserve">References </w:t>
      </w:r>
    </w:p>
    <w:p w14:paraId="1CC088A2" w14:textId="31F5DAC8" w:rsidR="005B42C9" w:rsidRDefault="005B42C9" w:rsidP="00AE72E5">
      <w:pPr>
        <w:rPr>
          <w:rFonts w:ascii="Arial" w:eastAsia="Calibri" w:hAnsi="Arial" w:cs="Arial"/>
          <w:sz w:val="22"/>
          <w:szCs w:val="22"/>
        </w:rPr>
      </w:pPr>
      <w:r w:rsidRPr="005B42C9">
        <w:rPr>
          <w:rFonts w:ascii="Arial" w:eastAsia="Calibri" w:hAnsi="Arial" w:cs="Arial"/>
          <w:sz w:val="22"/>
          <w:szCs w:val="22"/>
        </w:rPr>
        <w:t xml:space="preserve">Brady v. Maryland, 373 U.S. 83 (1963); </w:t>
      </w:r>
      <w:hyperlink r:id="rId29" w:history="1">
        <w:r w:rsidRPr="00AE72E5">
          <w:rPr>
            <w:rStyle w:val="Hyperlink"/>
            <w:rFonts w:ascii="Arial" w:eastAsia="Calibri" w:hAnsi="Arial" w:cs="Arial"/>
            <w:sz w:val="22"/>
            <w:szCs w:val="22"/>
          </w:rPr>
          <w:t xml:space="preserve">https://scholar.google.com/scholar_case?case=9550433126269674519&amp;hl=en&amp;as_sdt=6,44&amp;as_vis=1 </w:t>
        </w:r>
      </w:hyperlink>
      <w:r w:rsidRPr="005B42C9">
        <w:rPr>
          <w:rFonts w:ascii="Arial" w:eastAsia="Calibri" w:hAnsi="Arial" w:cs="Arial"/>
          <w:sz w:val="22"/>
          <w:szCs w:val="22"/>
        </w:rPr>
        <w:t xml:space="preserve"> [A15.1]</w:t>
      </w:r>
    </w:p>
    <w:p w14:paraId="3AE51430" w14:textId="77777777" w:rsidR="00315447" w:rsidRPr="005B42C9" w:rsidRDefault="00315447" w:rsidP="00AE72E5">
      <w:pPr>
        <w:rPr>
          <w:rFonts w:ascii="Arial" w:eastAsia="Calibri" w:hAnsi="Arial" w:cs="Arial"/>
          <w:sz w:val="22"/>
          <w:szCs w:val="22"/>
        </w:rPr>
      </w:pPr>
    </w:p>
    <w:p w14:paraId="3C3B04D7" w14:textId="7956FE0C" w:rsidR="005B42C9" w:rsidRPr="005B42C9" w:rsidRDefault="005B42C9" w:rsidP="00AE72E5">
      <w:pPr>
        <w:spacing w:after="240"/>
        <w:rPr>
          <w:rFonts w:ascii="Arial" w:eastAsia="Calibri" w:hAnsi="Arial" w:cs="Arial"/>
          <w:sz w:val="22"/>
          <w:szCs w:val="22"/>
        </w:rPr>
      </w:pPr>
      <w:r w:rsidRPr="005B42C9">
        <w:rPr>
          <w:rFonts w:ascii="Arial" w:eastAsia="Calibri" w:hAnsi="Arial" w:cs="Arial"/>
          <w:sz w:val="22"/>
          <w:szCs w:val="22"/>
        </w:rPr>
        <w:t xml:space="preserve">Bullcoming v. New Mexico, 564 U.S. 647 (2011); 09-10876 Bullcoming v. New Mexico (06/23/2011) </w:t>
      </w:r>
      <w:hyperlink r:id="rId30" w:history="1">
        <w:r w:rsidRPr="00AE72E5">
          <w:rPr>
            <w:rStyle w:val="Hyperlink"/>
            <w:rFonts w:ascii="Arial" w:eastAsia="Calibri" w:hAnsi="Arial" w:cs="Arial"/>
            <w:sz w:val="22"/>
            <w:szCs w:val="22"/>
          </w:rPr>
          <w:t>https://supreme.justia.com/cases/federal/us/564/647/</w:t>
        </w:r>
      </w:hyperlink>
      <w:r w:rsidRPr="005B42C9">
        <w:rPr>
          <w:rFonts w:ascii="Arial" w:eastAsia="Calibri" w:hAnsi="Arial" w:cs="Arial"/>
          <w:sz w:val="22"/>
          <w:szCs w:val="22"/>
        </w:rPr>
        <w:t xml:space="preserve"> [A15.1]</w:t>
      </w:r>
    </w:p>
    <w:p w14:paraId="3F358C17" w14:textId="3B8F9947" w:rsidR="005B42C9" w:rsidRPr="005B42C9" w:rsidRDefault="005B42C9" w:rsidP="00AE72E5">
      <w:pPr>
        <w:spacing w:after="240"/>
        <w:rPr>
          <w:rFonts w:ascii="Arial" w:eastAsia="Calibri" w:hAnsi="Arial" w:cs="Arial"/>
          <w:sz w:val="22"/>
          <w:szCs w:val="22"/>
        </w:rPr>
      </w:pPr>
      <w:r w:rsidRPr="005B42C9">
        <w:rPr>
          <w:rFonts w:ascii="Arial" w:eastAsia="Calibri" w:hAnsi="Arial" w:cs="Arial"/>
          <w:sz w:val="22"/>
          <w:szCs w:val="22"/>
        </w:rPr>
        <w:t xml:space="preserve">Daubert v. Merrell Dow Pharmaceuticals, Inc., 509 U.S. 579 (1993) </w:t>
      </w:r>
      <w:hyperlink r:id="rId31" w:history="1">
        <w:r w:rsidRPr="00AE72E5">
          <w:rPr>
            <w:rStyle w:val="Hyperlink"/>
            <w:rFonts w:ascii="Arial" w:eastAsia="Calibri" w:hAnsi="Arial" w:cs="Arial"/>
            <w:sz w:val="22"/>
            <w:szCs w:val="22"/>
          </w:rPr>
          <w:t xml:space="preserve">https://supreme.justia.com/cases/federal/us/509/579/case.pdf  </w:t>
        </w:r>
      </w:hyperlink>
      <w:r w:rsidRPr="005B42C9">
        <w:rPr>
          <w:rFonts w:ascii="Arial" w:eastAsia="Calibri" w:hAnsi="Arial" w:cs="Arial"/>
          <w:sz w:val="22"/>
          <w:szCs w:val="22"/>
        </w:rPr>
        <w:t xml:space="preserve"> [A15.1]</w:t>
      </w:r>
    </w:p>
    <w:p w14:paraId="044C1BFC" w14:textId="7DC2D385" w:rsidR="005B42C9" w:rsidRPr="005B42C9" w:rsidRDefault="005B42C9" w:rsidP="00AE72E5">
      <w:pPr>
        <w:spacing w:after="240"/>
        <w:rPr>
          <w:rFonts w:ascii="Arial" w:eastAsia="Calibri" w:hAnsi="Arial" w:cs="Arial"/>
          <w:sz w:val="22"/>
          <w:szCs w:val="22"/>
        </w:rPr>
      </w:pPr>
      <w:r w:rsidRPr="005B42C9">
        <w:rPr>
          <w:rFonts w:ascii="Arial" w:eastAsia="Calibri" w:hAnsi="Arial" w:cs="Arial"/>
          <w:sz w:val="22"/>
          <w:szCs w:val="22"/>
        </w:rPr>
        <w:t xml:space="preserve">Federal Rules of Evidence (Rule 702:  Testimony by Expert Witnesses, revised 2011); Rule 702. Testimony by Expert Witnesses | Federal Rules of Evidence | LII / Legal Information Institute. </w:t>
      </w:r>
      <w:hyperlink r:id="rId32" w:history="1">
        <w:r w:rsidRPr="00AE72E5">
          <w:rPr>
            <w:rStyle w:val="Hyperlink"/>
            <w:rFonts w:ascii="Arial" w:eastAsia="Calibri" w:hAnsi="Arial" w:cs="Arial"/>
            <w:sz w:val="22"/>
            <w:szCs w:val="22"/>
          </w:rPr>
          <w:t xml:space="preserve">https://www.law.cornell.edu/rules/fre/rule_702 </w:t>
        </w:r>
      </w:hyperlink>
      <w:r w:rsidRPr="005B42C9">
        <w:rPr>
          <w:rFonts w:ascii="Arial" w:eastAsia="Calibri" w:hAnsi="Arial" w:cs="Arial"/>
          <w:sz w:val="22"/>
          <w:szCs w:val="22"/>
        </w:rPr>
        <w:t xml:space="preserve"> [A15.1]</w:t>
      </w:r>
    </w:p>
    <w:p w14:paraId="76DA4CEA" w14:textId="58F08D6D" w:rsidR="005B42C9" w:rsidRPr="005B42C9" w:rsidRDefault="005B42C9" w:rsidP="00AE72E5">
      <w:pPr>
        <w:spacing w:after="240"/>
        <w:rPr>
          <w:rFonts w:ascii="Arial" w:eastAsia="Calibri" w:hAnsi="Arial" w:cs="Arial"/>
          <w:sz w:val="22"/>
          <w:szCs w:val="22"/>
        </w:rPr>
      </w:pPr>
      <w:r w:rsidRPr="005B42C9">
        <w:rPr>
          <w:rFonts w:ascii="Arial" w:eastAsia="Calibri" w:hAnsi="Arial" w:cs="Arial"/>
          <w:sz w:val="22"/>
          <w:szCs w:val="22"/>
        </w:rPr>
        <w:t xml:space="preserve">Federal Rules of Evidence (Rule 703:  Bases of an Expert); Rule 703. Bases of an Expert | Federal Rules of Evidence | LII / Legal Information Institute </w:t>
      </w:r>
      <w:hyperlink r:id="rId33" w:history="1">
        <w:r w:rsidRPr="00AE72E5">
          <w:rPr>
            <w:rStyle w:val="Hyperlink"/>
            <w:rFonts w:ascii="Arial" w:eastAsia="Calibri" w:hAnsi="Arial" w:cs="Arial"/>
            <w:sz w:val="22"/>
            <w:szCs w:val="22"/>
          </w:rPr>
          <w:t xml:space="preserve">https://www.law.cornell.edu/rules/fre/rule_703 </w:t>
        </w:r>
      </w:hyperlink>
      <w:r w:rsidRPr="005B42C9">
        <w:rPr>
          <w:rFonts w:ascii="Arial" w:eastAsia="Calibri" w:hAnsi="Arial" w:cs="Arial"/>
          <w:sz w:val="22"/>
          <w:szCs w:val="22"/>
        </w:rPr>
        <w:t xml:space="preserve"> [A15.1]</w:t>
      </w:r>
    </w:p>
    <w:p w14:paraId="2FC599F4" w14:textId="463235F9" w:rsidR="005B42C9" w:rsidRPr="005B42C9" w:rsidRDefault="005B42C9" w:rsidP="00AE72E5">
      <w:pPr>
        <w:spacing w:after="240"/>
        <w:rPr>
          <w:rFonts w:ascii="Arial" w:eastAsia="Calibri" w:hAnsi="Arial" w:cs="Arial"/>
          <w:sz w:val="22"/>
          <w:szCs w:val="22"/>
        </w:rPr>
      </w:pPr>
      <w:r w:rsidRPr="005B42C9">
        <w:rPr>
          <w:rFonts w:ascii="Arial" w:eastAsia="Calibri" w:hAnsi="Arial" w:cs="Arial"/>
          <w:sz w:val="22"/>
          <w:szCs w:val="22"/>
        </w:rPr>
        <w:t xml:space="preserve">Federal Rules of Evidence (Rule 705:  Disclosing the Facts or Data Underlying an Expert); Rule 705. Disclosing the Facts or Data Underlying an Expert | Federal Rules of Evidence | LII / Legal Information Institute. </w:t>
      </w:r>
      <w:hyperlink r:id="rId34" w:history="1">
        <w:r w:rsidRPr="00AE72E5">
          <w:rPr>
            <w:rStyle w:val="Hyperlink"/>
            <w:rFonts w:ascii="Arial" w:eastAsia="Calibri" w:hAnsi="Arial" w:cs="Arial"/>
            <w:sz w:val="22"/>
            <w:szCs w:val="22"/>
          </w:rPr>
          <w:t xml:space="preserve">https://www.law.cornell.edu/rules/fre/rule_705 </w:t>
        </w:r>
      </w:hyperlink>
      <w:r w:rsidRPr="005B42C9">
        <w:rPr>
          <w:rFonts w:ascii="Arial" w:eastAsia="Calibri" w:hAnsi="Arial" w:cs="Arial"/>
          <w:sz w:val="22"/>
          <w:szCs w:val="22"/>
        </w:rPr>
        <w:t xml:space="preserve"> [A15.1]</w:t>
      </w:r>
    </w:p>
    <w:p w14:paraId="4AB003AD" w14:textId="094F8EEF" w:rsidR="005B42C9" w:rsidRPr="005B42C9" w:rsidRDefault="005B42C9" w:rsidP="00AE72E5">
      <w:pPr>
        <w:spacing w:after="240"/>
        <w:rPr>
          <w:rFonts w:ascii="Arial" w:eastAsia="Calibri" w:hAnsi="Arial" w:cs="Arial"/>
          <w:sz w:val="22"/>
          <w:szCs w:val="22"/>
        </w:rPr>
      </w:pPr>
      <w:r w:rsidRPr="005B42C9">
        <w:rPr>
          <w:rFonts w:ascii="Arial" w:eastAsia="Calibri" w:hAnsi="Arial" w:cs="Arial"/>
          <w:sz w:val="22"/>
          <w:szCs w:val="22"/>
        </w:rPr>
        <w:t xml:space="preserve">Frye v. United States, 293 F. 1013 (D.C. Cir 1923); Frye v. United States - Green, Nesson &amp; Murray: Evidence. </w:t>
      </w:r>
      <w:hyperlink r:id="rId35" w:history="1">
        <w:r w:rsidRPr="00AE72E5">
          <w:rPr>
            <w:rStyle w:val="Hyperlink"/>
            <w:rFonts w:ascii="Arial" w:eastAsia="Calibri" w:hAnsi="Arial" w:cs="Arial"/>
            <w:sz w:val="22"/>
            <w:szCs w:val="22"/>
          </w:rPr>
          <w:t xml:space="preserve">https://wiki.harvard.edu/confluence/display/GNME/Frye+v.+United+States </w:t>
        </w:r>
      </w:hyperlink>
      <w:r w:rsidRPr="005B42C9">
        <w:rPr>
          <w:rFonts w:ascii="Arial" w:eastAsia="Calibri" w:hAnsi="Arial" w:cs="Arial"/>
          <w:sz w:val="22"/>
          <w:szCs w:val="22"/>
        </w:rPr>
        <w:t xml:space="preserve"> [A15.1]</w:t>
      </w:r>
    </w:p>
    <w:p w14:paraId="5D89DC1D" w14:textId="124EBA6A" w:rsidR="005B42C9" w:rsidRPr="005B42C9" w:rsidRDefault="005B42C9" w:rsidP="00AE72E5">
      <w:pPr>
        <w:spacing w:after="240"/>
        <w:rPr>
          <w:rFonts w:ascii="Arial" w:eastAsia="Calibri" w:hAnsi="Arial" w:cs="Arial"/>
          <w:sz w:val="22"/>
          <w:szCs w:val="22"/>
        </w:rPr>
      </w:pPr>
      <w:r w:rsidRPr="005B42C9">
        <w:rPr>
          <w:rFonts w:ascii="Arial" w:eastAsia="Calibri" w:hAnsi="Arial" w:cs="Arial"/>
          <w:sz w:val="22"/>
          <w:szCs w:val="22"/>
        </w:rPr>
        <w:t xml:space="preserve">General Electric Co. v. Joiner, 522 U.S. 136 (1997); </w:t>
      </w:r>
      <w:hyperlink r:id="rId36" w:history="1">
        <w:r w:rsidRPr="00AE72E5">
          <w:rPr>
            <w:rStyle w:val="Hyperlink"/>
            <w:rFonts w:ascii="Arial" w:eastAsia="Calibri" w:hAnsi="Arial" w:cs="Arial"/>
            <w:sz w:val="22"/>
            <w:szCs w:val="22"/>
          </w:rPr>
          <w:t>https://scholar.google.com/scholar_case?case=8141182863837122295</w:t>
        </w:r>
      </w:hyperlink>
      <w:r w:rsidRPr="005B42C9">
        <w:rPr>
          <w:rFonts w:ascii="Arial" w:eastAsia="Calibri" w:hAnsi="Arial" w:cs="Arial"/>
          <w:sz w:val="22"/>
          <w:szCs w:val="22"/>
        </w:rPr>
        <w:t xml:space="preserve"> [A15.1]</w:t>
      </w:r>
    </w:p>
    <w:p w14:paraId="0CCE1D54" w14:textId="77777777" w:rsidR="005B42C9" w:rsidRPr="005B42C9" w:rsidRDefault="005B42C9" w:rsidP="00AE72E5">
      <w:pPr>
        <w:spacing w:after="240"/>
        <w:rPr>
          <w:rFonts w:ascii="Arial" w:eastAsia="Calibri" w:hAnsi="Arial" w:cs="Arial"/>
          <w:sz w:val="22"/>
          <w:szCs w:val="22"/>
        </w:rPr>
      </w:pPr>
      <w:r w:rsidRPr="005B42C9">
        <w:rPr>
          <w:rFonts w:ascii="Arial" w:eastAsia="Calibri" w:hAnsi="Arial" w:cs="Arial"/>
          <w:sz w:val="22"/>
          <w:szCs w:val="22"/>
        </w:rPr>
        <w:t>Grivas, C. R., and D. A. Komar (2008) Kumho, Daubert, and the nature of scientific inquiry:  Implications for forensic anthropology.  Journal of Forensic Sciences 53(4):771-776.[A15.1]</w:t>
      </w:r>
    </w:p>
    <w:p w14:paraId="5A47DC5B" w14:textId="77777777" w:rsidR="005B42C9" w:rsidRPr="005B42C9" w:rsidRDefault="005B42C9" w:rsidP="00AE72E5">
      <w:pPr>
        <w:spacing w:after="240"/>
        <w:rPr>
          <w:rFonts w:ascii="Arial" w:eastAsia="Calibri" w:hAnsi="Arial" w:cs="Arial"/>
          <w:sz w:val="22"/>
          <w:szCs w:val="22"/>
        </w:rPr>
      </w:pPr>
      <w:r w:rsidRPr="005B42C9">
        <w:rPr>
          <w:rFonts w:ascii="Arial" w:eastAsia="Calibri" w:hAnsi="Arial" w:cs="Arial"/>
          <w:sz w:val="22"/>
          <w:szCs w:val="22"/>
        </w:rPr>
        <w:t>Holland, T., &amp; Crowder, C. (2019). “Somewhere in this twilight”: the circumstances leading to the National Academy of Sciences' report. In: Forensic Anthropology and the United States Judicial System, 19-40. [A15.1]</w:t>
      </w:r>
    </w:p>
    <w:p w14:paraId="11DD7BC8" w14:textId="77777777" w:rsidR="005B42C9" w:rsidRPr="005B42C9" w:rsidRDefault="005B42C9" w:rsidP="00AE72E5">
      <w:pPr>
        <w:spacing w:after="240"/>
        <w:rPr>
          <w:rFonts w:ascii="Arial" w:eastAsia="Calibri" w:hAnsi="Arial" w:cs="Arial"/>
          <w:sz w:val="22"/>
          <w:szCs w:val="22"/>
        </w:rPr>
      </w:pPr>
      <w:r w:rsidRPr="005B42C9">
        <w:rPr>
          <w:rFonts w:ascii="Arial" w:eastAsia="Calibri" w:hAnsi="Arial" w:cs="Arial"/>
          <w:sz w:val="22"/>
          <w:szCs w:val="22"/>
        </w:rPr>
        <w:t>Lesciotto, K. M. (2015) The impact of Daubert on the admissibility of forensic anthropology expert testimony.  Journal of Forensic Sciences 60(3):549-555.  [A15.1]</w:t>
      </w:r>
    </w:p>
    <w:p w14:paraId="78E270A2" w14:textId="71522B34" w:rsidR="005B42C9" w:rsidRPr="005B42C9" w:rsidRDefault="005B42C9" w:rsidP="00AE72E5">
      <w:pPr>
        <w:spacing w:after="240"/>
        <w:rPr>
          <w:rFonts w:ascii="Arial" w:eastAsia="Calibri" w:hAnsi="Arial" w:cs="Arial"/>
          <w:sz w:val="22"/>
          <w:szCs w:val="22"/>
        </w:rPr>
      </w:pPr>
      <w:r w:rsidRPr="005B42C9">
        <w:rPr>
          <w:rFonts w:ascii="Arial" w:eastAsia="Calibri" w:hAnsi="Arial" w:cs="Arial"/>
          <w:sz w:val="22"/>
          <w:szCs w:val="22"/>
        </w:rPr>
        <w:t>Lesciotto KM, Christensen AM. The over-citation of Daubert in forensic anthropology. J Forensic Sci. 2024; 69: 9–17. [A15.1]</w:t>
      </w:r>
    </w:p>
    <w:p w14:paraId="2207F3E9" w14:textId="49AB1E11"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lastRenderedPageBreak/>
        <w:t xml:space="preserve">Kumho Tire Co. v. Carmichael, 526 U.S. 137 (1999); KUMHO TIRE CO., LTD., et al. v. CARMICHAEL et al. certiorari to the </w:t>
      </w:r>
      <w:proofErr w:type="gramStart"/>
      <w:r w:rsidRPr="005B42C9">
        <w:rPr>
          <w:rFonts w:ascii="Arial" w:eastAsia="Calibri" w:hAnsi="Arial" w:cs="Arial"/>
          <w:sz w:val="22"/>
          <w:szCs w:val="22"/>
        </w:rPr>
        <w:t>united states</w:t>
      </w:r>
      <w:proofErr w:type="gramEnd"/>
      <w:r w:rsidRPr="005B42C9">
        <w:rPr>
          <w:rFonts w:ascii="Arial" w:eastAsia="Calibri" w:hAnsi="Arial" w:cs="Arial"/>
          <w:sz w:val="22"/>
          <w:szCs w:val="22"/>
        </w:rPr>
        <w:t xml:space="preserve"> court of appeals for the eleventh circuit. </w:t>
      </w:r>
      <w:hyperlink r:id="rId37" w:history="1">
        <w:r w:rsidRPr="00AE72E5">
          <w:rPr>
            <w:rStyle w:val="Hyperlink"/>
            <w:rFonts w:ascii="Arial" w:eastAsia="Calibri" w:hAnsi="Arial" w:cs="Arial"/>
            <w:sz w:val="22"/>
            <w:szCs w:val="22"/>
          </w:rPr>
          <w:t xml:space="preserve">https://supreme.justia.com/cases/federal/us/526/137/case.pdf </w:t>
        </w:r>
      </w:hyperlink>
      <w:r w:rsidRPr="005B42C9">
        <w:rPr>
          <w:rFonts w:ascii="Arial" w:eastAsia="Calibri" w:hAnsi="Arial" w:cs="Arial"/>
          <w:sz w:val="22"/>
          <w:szCs w:val="22"/>
        </w:rPr>
        <w:t xml:space="preserve"> [A15.1]</w:t>
      </w:r>
    </w:p>
    <w:p w14:paraId="2624EB44"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Love, J. C., &amp; Fulginiti, L. C. (2019). Confrontation: where forensic science meets the sixth amendment. In: Forensic Anthropology and the United States Judicial System, 3-18. [A15.1]</w:t>
      </w:r>
    </w:p>
    <w:p w14:paraId="71625D53"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Martin, D. G., &amp; Fulginiti, L. C. (2019). The United States justice system and forensic anthropology: preparing for court. In: Forensic Anthropology and the United States Judicial System, 141-165. [A15.1]</w:t>
      </w:r>
    </w:p>
    <w:p w14:paraId="65A3403F" w14:textId="39CCA6F2"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 xml:space="preserve">Melendez-Diaz v. Massachusetts, 557 U.S. 305 (2009); </w:t>
      </w:r>
      <w:hyperlink r:id="rId38" w:history="1">
        <w:r w:rsidRPr="00AE72E5">
          <w:rPr>
            <w:rStyle w:val="Hyperlink"/>
            <w:rFonts w:ascii="Arial" w:eastAsia="Calibri" w:hAnsi="Arial" w:cs="Arial"/>
            <w:sz w:val="22"/>
            <w:szCs w:val="22"/>
          </w:rPr>
          <w:t>https://scholar.google.com/scholar_case?case=15349793107974146661&amp;q=Melendez-Diaz+v.+Massachusetts&amp;hl=en&amp;as_sdt=2006</w:t>
        </w:r>
      </w:hyperlink>
      <w:r w:rsidRPr="005B42C9">
        <w:rPr>
          <w:rFonts w:ascii="Arial" w:eastAsia="Calibri" w:hAnsi="Arial" w:cs="Arial"/>
          <w:sz w:val="22"/>
          <w:szCs w:val="22"/>
        </w:rPr>
        <w:t xml:space="preserve"> [A15.1]</w:t>
      </w:r>
    </w:p>
    <w:p w14:paraId="42E49DE8" w14:textId="77777777" w:rsidR="005B42C9" w:rsidRPr="005B42C9" w:rsidRDefault="005B42C9" w:rsidP="002068AC">
      <w:pPr>
        <w:spacing w:after="240"/>
        <w:jc w:val="both"/>
        <w:rPr>
          <w:rFonts w:ascii="Arial" w:eastAsia="Calibri" w:hAnsi="Arial" w:cs="Arial"/>
          <w:sz w:val="22"/>
          <w:szCs w:val="22"/>
        </w:rPr>
      </w:pPr>
      <w:r w:rsidRPr="005B42C9">
        <w:rPr>
          <w:rFonts w:ascii="Arial" w:eastAsia="Calibri" w:hAnsi="Arial" w:cs="Arial"/>
          <w:sz w:val="22"/>
          <w:szCs w:val="22"/>
        </w:rPr>
        <w:t>National Research Council. (2009). Strengthening forensic science in the United States: A path forward. Washington, DC: National Academies Press.</w:t>
      </w:r>
    </w:p>
    <w:p w14:paraId="578AB222" w14:textId="77777777" w:rsidR="005B42C9" w:rsidRPr="005B42C9" w:rsidRDefault="005B42C9" w:rsidP="002068AC">
      <w:pPr>
        <w:spacing w:after="240"/>
        <w:jc w:val="both"/>
        <w:rPr>
          <w:rFonts w:ascii="Arial" w:eastAsia="Calibri" w:hAnsi="Arial" w:cs="Arial"/>
          <w:sz w:val="22"/>
          <w:szCs w:val="22"/>
        </w:rPr>
      </w:pPr>
    </w:p>
    <w:p w14:paraId="7EE0AEEB" w14:textId="77777777" w:rsidR="005B42C9" w:rsidRPr="005B42C9" w:rsidRDefault="005B42C9" w:rsidP="002068AC">
      <w:pPr>
        <w:jc w:val="both"/>
        <w:rPr>
          <w:rFonts w:ascii="Arial" w:eastAsia="Calibri" w:hAnsi="Arial" w:cs="Arial"/>
          <w:sz w:val="22"/>
          <w:szCs w:val="22"/>
        </w:rPr>
      </w:pPr>
    </w:p>
    <w:p w14:paraId="0CA37525" w14:textId="77777777" w:rsidR="005B42C9" w:rsidRPr="005B42C9" w:rsidRDefault="005B42C9" w:rsidP="002068AC">
      <w:pPr>
        <w:jc w:val="both"/>
        <w:rPr>
          <w:rFonts w:ascii="Arial" w:eastAsia="Calibri" w:hAnsi="Arial" w:cs="Arial"/>
          <w:sz w:val="22"/>
          <w:szCs w:val="22"/>
        </w:rPr>
      </w:pPr>
    </w:p>
    <w:p w14:paraId="75D1C502" w14:textId="77777777" w:rsidR="005B42C9" w:rsidRPr="005B42C9" w:rsidRDefault="005B42C9" w:rsidP="002068AC">
      <w:pPr>
        <w:jc w:val="both"/>
        <w:rPr>
          <w:rFonts w:ascii="Arial" w:eastAsia="Calibri" w:hAnsi="Arial" w:cs="Arial"/>
          <w:sz w:val="22"/>
          <w:szCs w:val="22"/>
        </w:rPr>
      </w:pPr>
    </w:p>
    <w:p w14:paraId="0B7FE341" w14:textId="77777777" w:rsidR="005B42C9" w:rsidRPr="005B42C9" w:rsidRDefault="005B42C9" w:rsidP="002068AC">
      <w:pPr>
        <w:jc w:val="both"/>
        <w:rPr>
          <w:rFonts w:ascii="Arial" w:eastAsia="Calibri" w:hAnsi="Arial" w:cs="Arial"/>
          <w:sz w:val="22"/>
          <w:szCs w:val="22"/>
        </w:rPr>
      </w:pPr>
    </w:p>
    <w:p w14:paraId="443DDC1A" w14:textId="77777777" w:rsidR="005B42C9" w:rsidRPr="005B42C9" w:rsidRDefault="005B42C9" w:rsidP="002068AC">
      <w:pPr>
        <w:jc w:val="both"/>
        <w:rPr>
          <w:rFonts w:ascii="Arial" w:eastAsia="Calibri" w:hAnsi="Arial" w:cs="Arial"/>
          <w:sz w:val="22"/>
          <w:szCs w:val="22"/>
        </w:rPr>
      </w:pPr>
    </w:p>
    <w:p w14:paraId="1431A0B9" w14:textId="77777777" w:rsidR="005B42C9" w:rsidRPr="005B42C9" w:rsidRDefault="005B42C9" w:rsidP="002068AC">
      <w:pPr>
        <w:jc w:val="both"/>
        <w:rPr>
          <w:rFonts w:ascii="Arial" w:eastAsia="Calibri" w:hAnsi="Arial" w:cs="Arial"/>
          <w:sz w:val="22"/>
          <w:szCs w:val="22"/>
        </w:rPr>
      </w:pPr>
    </w:p>
    <w:p w14:paraId="4EEF936D" w14:textId="77777777" w:rsidR="005B42C9" w:rsidRPr="005B42C9" w:rsidRDefault="005B42C9" w:rsidP="002068AC">
      <w:pPr>
        <w:jc w:val="both"/>
        <w:rPr>
          <w:rFonts w:ascii="Arial" w:eastAsia="Calibri" w:hAnsi="Arial" w:cs="Arial"/>
          <w:sz w:val="22"/>
          <w:szCs w:val="22"/>
        </w:rPr>
      </w:pPr>
    </w:p>
    <w:p w14:paraId="57F79B9B" w14:textId="77777777" w:rsidR="005B42C9" w:rsidRPr="005B42C9" w:rsidRDefault="005B42C9" w:rsidP="002068AC">
      <w:pPr>
        <w:jc w:val="both"/>
        <w:rPr>
          <w:rFonts w:ascii="Arial" w:eastAsia="Calibri" w:hAnsi="Arial" w:cs="Arial"/>
          <w:sz w:val="22"/>
          <w:szCs w:val="22"/>
        </w:rPr>
      </w:pPr>
    </w:p>
    <w:p w14:paraId="51196F6F" w14:textId="77777777" w:rsidR="005B42C9" w:rsidRPr="005B42C9" w:rsidRDefault="005B42C9" w:rsidP="002068AC">
      <w:pPr>
        <w:jc w:val="both"/>
        <w:rPr>
          <w:rFonts w:ascii="Arial" w:eastAsia="Calibri" w:hAnsi="Arial" w:cs="Arial"/>
          <w:sz w:val="22"/>
          <w:szCs w:val="22"/>
        </w:rPr>
      </w:pPr>
    </w:p>
    <w:p w14:paraId="57D4E544" w14:textId="77777777" w:rsidR="005B42C9" w:rsidRPr="005B42C9" w:rsidRDefault="005B42C9" w:rsidP="002068AC">
      <w:pPr>
        <w:jc w:val="both"/>
        <w:rPr>
          <w:rFonts w:ascii="Arial" w:eastAsia="Calibri" w:hAnsi="Arial" w:cs="Arial"/>
          <w:sz w:val="22"/>
          <w:szCs w:val="22"/>
        </w:rPr>
      </w:pPr>
    </w:p>
    <w:p w14:paraId="1D6C49C8" w14:textId="77777777" w:rsidR="005B42C9" w:rsidRPr="005B42C9" w:rsidRDefault="005B42C9" w:rsidP="002068AC">
      <w:pPr>
        <w:jc w:val="both"/>
        <w:rPr>
          <w:rFonts w:ascii="Arial" w:eastAsia="Calibri" w:hAnsi="Arial" w:cs="Arial"/>
          <w:sz w:val="22"/>
          <w:szCs w:val="22"/>
        </w:rPr>
      </w:pPr>
    </w:p>
    <w:p w14:paraId="5E573C98" w14:textId="77777777" w:rsidR="005B42C9" w:rsidRPr="005B42C9" w:rsidRDefault="005B42C9" w:rsidP="002068AC">
      <w:pPr>
        <w:jc w:val="both"/>
        <w:rPr>
          <w:rFonts w:ascii="Arial" w:eastAsia="Calibri" w:hAnsi="Arial" w:cs="Arial"/>
          <w:sz w:val="22"/>
          <w:szCs w:val="22"/>
        </w:rPr>
      </w:pPr>
    </w:p>
    <w:p w14:paraId="53BC833C" w14:textId="77777777" w:rsidR="005B42C9" w:rsidRPr="005B42C9" w:rsidRDefault="005B42C9" w:rsidP="002068AC">
      <w:pPr>
        <w:jc w:val="both"/>
        <w:rPr>
          <w:rFonts w:ascii="Arial" w:eastAsia="Calibri" w:hAnsi="Arial" w:cs="Arial"/>
          <w:sz w:val="22"/>
          <w:szCs w:val="22"/>
        </w:rPr>
      </w:pPr>
    </w:p>
    <w:p w14:paraId="020383D8" w14:textId="77777777" w:rsidR="005B42C9" w:rsidRPr="005B42C9" w:rsidRDefault="005B42C9" w:rsidP="002068AC">
      <w:pPr>
        <w:jc w:val="both"/>
        <w:rPr>
          <w:rFonts w:ascii="Arial" w:eastAsia="Calibri" w:hAnsi="Arial" w:cs="Arial"/>
          <w:sz w:val="22"/>
          <w:szCs w:val="22"/>
        </w:rPr>
      </w:pPr>
    </w:p>
    <w:p w14:paraId="5BE5B049" w14:textId="77777777" w:rsidR="005B42C9" w:rsidRPr="005B42C9" w:rsidRDefault="005B42C9" w:rsidP="002068AC">
      <w:pPr>
        <w:jc w:val="both"/>
        <w:rPr>
          <w:rFonts w:ascii="Arial" w:eastAsia="Calibri" w:hAnsi="Arial" w:cs="Arial"/>
          <w:sz w:val="22"/>
          <w:szCs w:val="22"/>
        </w:rPr>
      </w:pPr>
    </w:p>
    <w:p w14:paraId="15A8D0EB" w14:textId="77777777" w:rsidR="005B42C9" w:rsidRPr="005B42C9" w:rsidRDefault="005B42C9" w:rsidP="002068AC">
      <w:pPr>
        <w:jc w:val="both"/>
        <w:rPr>
          <w:rFonts w:ascii="Arial" w:eastAsia="Calibri" w:hAnsi="Arial" w:cs="Arial"/>
          <w:sz w:val="22"/>
          <w:szCs w:val="22"/>
        </w:rPr>
      </w:pPr>
    </w:p>
    <w:p w14:paraId="08637D2C" w14:textId="77777777" w:rsidR="005B42C9" w:rsidRPr="005B42C9" w:rsidRDefault="005B42C9" w:rsidP="002068AC">
      <w:pPr>
        <w:jc w:val="both"/>
        <w:rPr>
          <w:rFonts w:ascii="Arial" w:eastAsia="Calibri" w:hAnsi="Arial" w:cs="Arial"/>
          <w:sz w:val="22"/>
          <w:szCs w:val="22"/>
        </w:rPr>
      </w:pPr>
    </w:p>
    <w:p w14:paraId="6BC5C47E" w14:textId="77777777" w:rsidR="005B42C9" w:rsidRPr="005B42C9" w:rsidRDefault="005B42C9" w:rsidP="002068AC">
      <w:pPr>
        <w:jc w:val="both"/>
        <w:rPr>
          <w:rFonts w:ascii="Arial" w:eastAsia="Calibri" w:hAnsi="Arial" w:cs="Arial"/>
          <w:sz w:val="22"/>
          <w:szCs w:val="22"/>
        </w:rPr>
      </w:pPr>
    </w:p>
    <w:p w14:paraId="1D1008DE" w14:textId="77777777" w:rsidR="005B42C9" w:rsidRPr="005B42C9" w:rsidRDefault="005B42C9" w:rsidP="002068AC">
      <w:pPr>
        <w:jc w:val="both"/>
        <w:rPr>
          <w:rFonts w:ascii="Arial" w:eastAsia="Calibri" w:hAnsi="Arial" w:cs="Arial"/>
          <w:sz w:val="22"/>
          <w:szCs w:val="22"/>
        </w:rPr>
      </w:pPr>
    </w:p>
    <w:p w14:paraId="0B30E021" w14:textId="77777777" w:rsidR="005B42C9" w:rsidRDefault="005B42C9" w:rsidP="002068AC">
      <w:pPr>
        <w:jc w:val="both"/>
        <w:rPr>
          <w:rFonts w:ascii="Arial" w:eastAsia="Calibri" w:hAnsi="Arial" w:cs="Arial"/>
          <w:sz w:val="22"/>
          <w:szCs w:val="22"/>
        </w:rPr>
      </w:pPr>
    </w:p>
    <w:p w14:paraId="08AAF118" w14:textId="77777777" w:rsidR="00250AAE" w:rsidRDefault="00250AAE" w:rsidP="002068AC">
      <w:pPr>
        <w:jc w:val="both"/>
        <w:rPr>
          <w:rFonts w:ascii="Arial" w:eastAsia="Calibri" w:hAnsi="Arial" w:cs="Arial"/>
          <w:sz w:val="22"/>
          <w:szCs w:val="22"/>
        </w:rPr>
      </w:pPr>
    </w:p>
    <w:p w14:paraId="2EE76842" w14:textId="77777777" w:rsidR="00250AAE" w:rsidRDefault="00250AAE" w:rsidP="002068AC">
      <w:pPr>
        <w:jc w:val="both"/>
        <w:rPr>
          <w:rFonts w:ascii="Arial" w:eastAsia="Calibri" w:hAnsi="Arial" w:cs="Arial"/>
          <w:sz w:val="22"/>
          <w:szCs w:val="22"/>
        </w:rPr>
      </w:pPr>
    </w:p>
    <w:p w14:paraId="11A2C664" w14:textId="77777777" w:rsidR="00250AAE" w:rsidRDefault="00250AAE" w:rsidP="002068AC">
      <w:pPr>
        <w:jc w:val="both"/>
        <w:rPr>
          <w:rFonts w:ascii="Arial" w:eastAsia="Calibri" w:hAnsi="Arial" w:cs="Arial"/>
          <w:sz w:val="22"/>
          <w:szCs w:val="22"/>
        </w:rPr>
      </w:pPr>
    </w:p>
    <w:p w14:paraId="512F627D" w14:textId="77777777" w:rsidR="00250AAE" w:rsidRDefault="00250AAE" w:rsidP="002068AC">
      <w:pPr>
        <w:jc w:val="both"/>
        <w:rPr>
          <w:rFonts w:ascii="Arial" w:eastAsia="Calibri" w:hAnsi="Arial" w:cs="Arial"/>
          <w:sz w:val="22"/>
          <w:szCs w:val="22"/>
        </w:rPr>
      </w:pPr>
    </w:p>
    <w:p w14:paraId="7C7804B6" w14:textId="77777777" w:rsidR="00250AAE" w:rsidRDefault="00250AAE" w:rsidP="002068AC">
      <w:pPr>
        <w:jc w:val="both"/>
        <w:rPr>
          <w:rFonts w:ascii="Arial" w:eastAsia="Calibri" w:hAnsi="Arial" w:cs="Arial"/>
          <w:sz w:val="22"/>
          <w:szCs w:val="22"/>
        </w:rPr>
      </w:pPr>
    </w:p>
    <w:p w14:paraId="45FCDA23" w14:textId="77777777" w:rsidR="00250AAE" w:rsidRDefault="00250AAE" w:rsidP="002068AC">
      <w:pPr>
        <w:jc w:val="both"/>
        <w:rPr>
          <w:rFonts w:ascii="Arial" w:eastAsia="Calibri" w:hAnsi="Arial" w:cs="Arial"/>
          <w:sz w:val="22"/>
          <w:szCs w:val="22"/>
        </w:rPr>
      </w:pPr>
    </w:p>
    <w:p w14:paraId="67115781" w14:textId="77777777" w:rsidR="00250AAE" w:rsidRDefault="00250AAE" w:rsidP="002068AC">
      <w:pPr>
        <w:jc w:val="both"/>
        <w:rPr>
          <w:rFonts w:ascii="Arial" w:eastAsia="Calibri" w:hAnsi="Arial" w:cs="Arial"/>
          <w:sz w:val="22"/>
          <w:szCs w:val="22"/>
        </w:rPr>
      </w:pPr>
    </w:p>
    <w:p w14:paraId="6489B640" w14:textId="77777777" w:rsidR="00250AAE" w:rsidRDefault="00250AAE" w:rsidP="002068AC">
      <w:pPr>
        <w:jc w:val="both"/>
        <w:rPr>
          <w:rFonts w:ascii="Arial" w:eastAsia="Calibri" w:hAnsi="Arial" w:cs="Arial"/>
          <w:sz w:val="22"/>
          <w:szCs w:val="22"/>
        </w:rPr>
      </w:pPr>
    </w:p>
    <w:p w14:paraId="320FD6C1" w14:textId="77777777" w:rsidR="00250AAE" w:rsidRDefault="00250AAE" w:rsidP="002068AC">
      <w:pPr>
        <w:jc w:val="both"/>
        <w:rPr>
          <w:rFonts w:ascii="Arial" w:eastAsia="Calibri" w:hAnsi="Arial" w:cs="Arial"/>
          <w:sz w:val="22"/>
          <w:szCs w:val="22"/>
        </w:rPr>
      </w:pPr>
    </w:p>
    <w:p w14:paraId="53BBB3D3" w14:textId="77777777" w:rsidR="00250AAE" w:rsidRDefault="00250AAE" w:rsidP="002068AC">
      <w:pPr>
        <w:jc w:val="both"/>
        <w:rPr>
          <w:rFonts w:ascii="Arial" w:eastAsia="Calibri" w:hAnsi="Arial" w:cs="Arial"/>
          <w:sz w:val="22"/>
          <w:szCs w:val="22"/>
        </w:rPr>
      </w:pPr>
    </w:p>
    <w:p w14:paraId="72AC35CC" w14:textId="77777777" w:rsidR="00250AAE" w:rsidRDefault="00250AAE" w:rsidP="002068AC">
      <w:pPr>
        <w:jc w:val="both"/>
        <w:rPr>
          <w:rFonts w:ascii="Arial" w:eastAsia="Calibri" w:hAnsi="Arial" w:cs="Arial"/>
          <w:sz w:val="22"/>
          <w:szCs w:val="22"/>
        </w:rPr>
      </w:pPr>
    </w:p>
    <w:p w14:paraId="05F8A6F8" w14:textId="77777777" w:rsidR="00250AAE" w:rsidRPr="005B42C9" w:rsidRDefault="00250AAE" w:rsidP="002068AC">
      <w:pPr>
        <w:jc w:val="both"/>
        <w:rPr>
          <w:rFonts w:ascii="Arial" w:eastAsia="Calibri" w:hAnsi="Arial" w:cs="Arial"/>
          <w:sz w:val="22"/>
          <w:szCs w:val="22"/>
        </w:rPr>
      </w:pPr>
    </w:p>
    <w:p w14:paraId="6D12FD4B" w14:textId="77777777" w:rsidR="005B42C9" w:rsidRDefault="005B42C9" w:rsidP="002068AC">
      <w:pPr>
        <w:jc w:val="both"/>
        <w:rPr>
          <w:rFonts w:ascii="Arial" w:eastAsia="Calibri" w:hAnsi="Arial" w:cs="Arial"/>
          <w:b/>
          <w:bCs/>
        </w:rPr>
      </w:pPr>
      <w:r w:rsidRPr="00250AAE">
        <w:rPr>
          <w:rFonts w:ascii="Arial" w:eastAsia="Calibri" w:hAnsi="Arial" w:cs="Arial"/>
          <w:b/>
          <w:bCs/>
        </w:rPr>
        <w:lastRenderedPageBreak/>
        <w:t>16. Ethics</w:t>
      </w:r>
    </w:p>
    <w:p w14:paraId="14A695EA" w14:textId="77777777" w:rsidR="00C90799" w:rsidRPr="00250AAE" w:rsidRDefault="00C90799" w:rsidP="002068AC">
      <w:pPr>
        <w:jc w:val="both"/>
        <w:rPr>
          <w:rFonts w:ascii="Arial" w:eastAsia="Calibri" w:hAnsi="Arial" w:cs="Arial"/>
          <w:b/>
          <w:bCs/>
        </w:rPr>
      </w:pPr>
    </w:p>
    <w:tbl>
      <w:tblPr>
        <w:tblW w:w="9087" w:type="dxa"/>
        <w:tblLayout w:type="fixed"/>
        <w:tblCellMar>
          <w:top w:w="15" w:type="dxa"/>
          <w:left w:w="15" w:type="dxa"/>
          <w:bottom w:w="15" w:type="dxa"/>
          <w:right w:w="15" w:type="dxa"/>
        </w:tblCellMar>
        <w:tblLook w:val="04A0" w:firstRow="1" w:lastRow="0" w:firstColumn="1" w:lastColumn="0" w:noHBand="0" w:noVBand="1"/>
      </w:tblPr>
      <w:tblGrid>
        <w:gridCol w:w="980"/>
        <w:gridCol w:w="8107"/>
      </w:tblGrid>
      <w:tr w:rsidR="00580632" w:rsidRPr="00250AAE" w14:paraId="35DBCCA0" w14:textId="77777777" w:rsidTr="00580632">
        <w:trPr>
          <w:trHeight w:val="439"/>
        </w:trPr>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F86889" w14:textId="77777777" w:rsidR="00580632" w:rsidRPr="00250AAE" w:rsidRDefault="00580632" w:rsidP="002068AC">
            <w:pPr>
              <w:jc w:val="both"/>
              <w:rPr>
                <w:rFonts w:ascii="Arial" w:eastAsia="Calibri" w:hAnsi="Arial" w:cs="Arial"/>
                <w:sz w:val="22"/>
                <w:szCs w:val="22"/>
              </w:rPr>
            </w:pPr>
            <w:r w:rsidRPr="00250AAE">
              <w:rPr>
                <w:rFonts w:ascii="Arial" w:eastAsia="Calibri" w:hAnsi="Arial" w:cs="Arial"/>
                <w:sz w:val="22"/>
                <w:szCs w:val="22"/>
              </w:rPr>
              <w:t>A16.1 </w:t>
            </w:r>
          </w:p>
        </w:tc>
        <w:tc>
          <w:tcPr>
            <w:tcW w:w="8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CF0ABD" w14:textId="6041E6A8" w:rsidR="00580632" w:rsidRPr="00250AAE" w:rsidRDefault="00580632" w:rsidP="002068AC">
            <w:pPr>
              <w:jc w:val="both"/>
              <w:rPr>
                <w:rFonts w:ascii="Arial" w:eastAsia="Calibri" w:hAnsi="Arial" w:cs="Arial"/>
                <w:sz w:val="22"/>
                <w:szCs w:val="22"/>
              </w:rPr>
            </w:pPr>
            <w:r w:rsidRPr="00250AAE">
              <w:rPr>
                <w:rFonts w:ascii="Arial" w:eastAsia="Calibri" w:hAnsi="Arial" w:cs="Arial"/>
                <w:sz w:val="22"/>
                <w:szCs w:val="22"/>
              </w:rPr>
              <w:t>Describe how to handle human remains according to ethical standards/protocols</w:t>
            </w:r>
          </w:p>
        </w:tc>
      </w:tr>
      <w:tr w:rsidR="00580632" w:rsidRPr="00250AAE" w14:paraId="7DD86F07" w14:textId="77777777" w:rsidTr="00580632">
        <w:trPr>
          <w:trHeight w:val="461"/>
        </w:trPr>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C45F968" w14:textId="77777777" w:rsidR="00580632" w:rsidRPr="00250AAE" w:rsidRDefault="00580632" w:rsidP="002068AC">
            <w:pPr>
              <w:jc w:val="both"/>
              <w:rPr>
                <w:rFonts w:ascii="Arial" w:eastAsia="Calibri" w:hAnsi="Arial" w:cs="Arial"/>
                <w:sz w:val="22"/>
                <w:szCs w:val="22"/>
              </w:rPr>
            </w:pPr>
            <w:r w:rsidRPr="00250AAE">
              <w:rPr>
                <w:rFonts w:ascii="Arial" w:eastAsia="Calibri" w:hAnsi="Arial" w:cs="Arial"/>
                <w:sz w:val="22"/>
                <w:szCs w:val="22"/>
              </w:rPr>
              <w:t>A16.2 </w:t>
            </w:r>
          </w:p>
        </w:tc>
        <w:tc>
          <w:tcPr>
            <w:tcW w:w="8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7DD81C" w14:textId="33E1C643" w:rsidR="00580632" w:rsidRPr="00250AAE" w:rsidRDefault="00580632" w:rsidP="002068AC">
            <w:pPr>
              <w:jc w:val="both"/>
              <w:rPr>
                <w:rFonts w:ascii="Arial" w:eastAsia="Calibri" w:hAnsi="Arial" w:cs="Arial"/>
                <w:sz w:val="22"/>
                <w:szCs w:val="22"/>
              </w:rPr>
            </w:pPr>
            <w:r w:rsidRPr="00250AAE">
              <w:rPr>
                <w:rFonts w:ascii="Arial" w:eastAsia="Calibri" w:hAnsi="Arial" w:cs="Arial"/>
                <w:sz w:val="22"/>
                <w:szCs w:val="22"/>
              </w:rPr>
              <w:t>Describe actions that demonstrate respect for decedent and family privacy and confidentiality</w:t>
            </w:r>
          </w:p>
        </w:tc>
      </w:tr>
      <w:tr w:rsidR="00580632" w:rsidRPr="00250AAE" w14:paraId="49912EB3" w14:textId="77777777" w:rsidTr="00580632">
        <w:trPr>
          <w:trHeight w:val="440"/>
        </w:trPr>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285CF8" w14:textId="77777777" w:rsidR="00580632" w:rsidRPr="00250AAE" w:rsidRDefault="00580632" w:rsidP="002068AC">
            <w:pPr>
              <w:jc w:val="both"/>
              <w:rPr>
                <w:rFonts w:ascii="Arial" w:eastAsia="Calibri" w:hAnsi="Arial" w:cs="Arial"/>
                <w:sz w:val="22"/>
                <w:szCs w:val="22"/>
              </w:rPr>
            </w:pPr>
            <w:r w:rsidRPr="00250AAE">
              <w:rPr>
                <w:rFonts w:ascii="Arial" w:eastAsia="Calibri" w:hAnsi="Arial" w:cs="Arial"/>
                <w:sz w:val="22"/>
                <w:szCs w:val="22"/>
              </w:rPr>
              <w:t>A16.3 </w:t>
            </w:r>
          </w:p>
        </w:tc>
        <w:tc>
          <w:tcPr>
            <w:tcW w:w="8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E8398FE" w14:textId="7059E676" w:rsidR="00580632" w:rsidRPr="00250AAE" w:rsidRDefault="00580632" w:rsidP="002068AC">
            <w:pPr>
              <w:jc w:val="both"/>
              <w:rPr>
                <w:rFonts w:ascii="Arial" w:eastAsia="Calibri" w:hAnsi="Arial" w:cs="Arial"/>
                <w:sz w:val="22"/>
                <w:szCs w:val="22"/>
              </w:rPr>
            </w:pPr>
            <w:r w:rsidRPr="00250AAE">
              <w:rPr>
                <w:rFonts w:ascii="Arial" w:eastAsia="Calibri" w:hAnsi="Arial" w:cs="Arial"/>
                <w:sz w:val="22"/>
                <w:szCs w:val="22"/>
              </w:rPr>
              <w:t>Navigate simple ethical questions (appropriate use of photos, HIPAA, ABFA Code of Ethics)</w:t>
            </w:r>
          </w:p>
        </w:tc>
      </w:tr>
      <w:tr w:rsidR="00580632" w:rsidRPr="00250AAE" w14:paraId="3AEB9A1F" w14:textId="77777777" w:rsidTr="00580632">
        <w:trPr>
          <w:trHeight w:val="461"/>
        </w:trPr>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B96E8E" w14:textId="77777777" w:rsidR="00580632" w:rsidRPr="00250AAE" w:rsidRDefault="00580632" w:rsidP="002068AC">
            <w:pPr>
              <w:jc w:val="both"/>
              <w:rPr>
                <w:rFonts w:ascii="Arial" w:eastAsia="Calibri" w:hAnsi="Arial" w:cs="Arial"/>
                <w:sz w:val="22"/>
                <w:szCs w:val="22"/>
              </w:rPr>
            </w:pPr>
            <w:r w:rsidRPr="00250AAE">
              <w:rPr>
                <w:rFonts w:ascii="Arial" w:eastAsia="Calibri" w:hAnsi="Arial" w:cs="Arial"/>
                <w:sz w:val="22"/>
                <w:szCs w:val="22"/>
              </w:rPr>
              <w:t>A16.4 </w:t>
            </w:r>
          </w:p>
        </w:tc>
        <w:tc>
          <w:tcPr>
            <w:tcW w:w="8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D31C26" w14:textId="07261462" w:rsidR="00580632" w:rsidRPr="00250AAE" w:rsidRDefault="00580632" w:rsidP="002068AC">
            <w:pPr>
              <w:jc w:val="both"/>
              <w:rPr>
                <w:rFonts w:ascii="Arial" w:eastAsia="Calibri" w:hAnsi="Arial" w:cs="Arial"/>
                <w:sz w:val="22"/>
                <w:szCs w:val="22"/>
              </w:rPr>
            </w:pPr>
            <w:r w:rsidRPr="00250AAE">
              <w:rPr>
                <w:rFonts w:ascii="Arial" w:eastAsia="Calibri" w:hAnsi="Arial" w:cs="Arial"/>
                <w:sz w:val="22"/>
                <w:szCs w:val="22"/>
              </w:rPr>
              <w:t>Demonstrate an understanding of the ABFA Code of Ethics and Conduct</w:t>
            </w:r>
          </w:p>
        </w:tc>
      </w:tr>
    </w:tbl>
    <w:p w14:paraId="56FFA54E" w14:textId="77777777" w:rsidR="005B42C9" w:rsidRPr="005B42C9" w:rsidRDefault="005B42C9" w:rsidP="002068AC">
      <w:pPr>
        <w:jc w:val="both"/>
        <w:rPr>
          <w:rFonts w:ascii="Arial" w:eastAsia="Calibri" w:hAnsi="Arial" w:cs="Arial"/>
          <w:sz w:val="22"/>
          <w:szCs w:val="22"/>
        </w:rPr>
      </w:pPr>
    </w:p>
    <w:p w14:paraId="10BD52E7" w14:textId="77777777" w:rsidR="005B42C9" w:rsidRPr="005B42C9" w:rsidRDefault="005B42C9" w:rsidP="002068AC">
      <w:pPr>
        <w:jc w:val="both"/>
        <w:rPr>
          <w:rFonts w:ascii="Arial" w:eastAsia="Calibri" w:hAnsi="Arial" w:cs="Arial"/>
          <w:sz w:val="22"/>
          <w:szCs w:val="22"/>
        </w:rPr>
      </w:pPr>
    </w:p>
    <w:p w14:paraId="4A2220A3" w14:textId="77777777" w:rsidR="005B42C9" w:rsidRPr="00250AAE" w:rsidRDefault="005B42C9" w:rsidP="002068AC">
      <w:pPr>
        <w:jc w:val="both"/>
        <w:rPr>
          <w:rFonts w:ascii="Arial" w:eastAsia="Calibri" w:hAnsi="Arial" w:cs="Arial"/>
          <w:b/>
          <w:bCs/>
          <w:sz w:val="22"/>
          <w:szCs w:val="22"/>
        </w:rPr>
      </w:pPr>
      <w:r w:rsidRPr="00250AAE">
        <w:rPr>
          <w:rFonts w:ascii="Arial" w:eastAsia="Calibri" w:hAnsi="Arial" w:cs="Arial"/>
          <w:b/>
          <w:bCs/>
          <w:sz w:val="22"/>
          <w:szCs w:val="22"/>
        </w:rPr>
        <w:t xml:space="preserve">References </w:t>
      </w:r>
    </w:p>
    <w:p w14:paraId="1A4AFA50" w14:textId="1BBDB841" w:rsidR="005B42C9" w:rsidRPr="005B42C9" w:rsidRDefault="005B42C9" w:rsidP="005528EA">
      <w:pPr>
        <w:spacing w:after="240"/>
        <w:rPr>
          <w:rFonts w:ascii="Arial" w:eastAsia="Calibri" w:hAnsi="Arial" w:cs="Arial"/>
          <w:sz w:val="22"/>
          <w:szCs w:val="22"/>
        </w:rPr>
      </w:pPr>
      <w:r w:rsidRPr="005B42C9">
        <w:rPr>
          <w:rFonts w:ascii="Arial" w:eastAsia="Calibri" w:hAnsi="Arial" w:cs="Arial"/>
          <w:sz w:val="22"/>
          <w:szCs w:val="22"/>
        </w:rPr>
        <w:t xml:space="preserve">AAFS Bylaws: Article II. CODE OF ETHICS AND CONDUCT, Revision: 03/06/2024. </w:t>
      </w:r>
      <w:hyperlink r:id="rId39" w:history="1">
        <w:r w:rsidRPr="003C493E">
          <w:rPr>
            <w:rStyle w:val="Hyperlink"/>
            <w:rFonts w:ascii="Arial" w:eastAsia="Calibri" w:hAnsi="Arial" w:cs="Arial"/>
            <w:sz w:val="22"/>
            <w:szCs w:val="22"/>
          </w:rPr>
          <w:t xml:space="preserve">https://www.aafs.org/sites/default/files/media/documents/MASTER%20BYLAWS_3.6.24.pdf </w:t>
        </w:r>
      </w:hyperlink>
      <w:r w:rsidRPr="005B42C9">
        <w:rPr>
          <w:rFonts w:ascii="Arial" w:eastAsia="Calibri" w:hAnsi="Arial" w:cs="Arial"/>
          <w:sz w:val="22"/>
          <w:szCs w:val="22"/>
        </w:rPr>
        <w:t xml:space="preserve"> [A16.4]</w:t>
      </w:r>
    </w:p>
    <w:p w14:paraId="49719485" w14:textId="0DAA3100" w:rsidR="005B42C9" w:rsidRPr="005B42C9" w:rsidRDefault="005B42C9" w:rsidP="005528EA">
      <w:pPr>
        <w:spacing w:after="240"/>
        <w:rPr>
          <w:rFonts w:ascii="Arial" w:eastAsia="Calibri" w:hAnsi="Arial" w:cs="Arial"/>
          <w:sz w:val="22"/>
          <w:szCs w:val="22"/>
        </w:rPr>
      </w:pPr>
      <w:r w:rsidRPr="005B42C9">
        <w:rPr>
          <w:rFonts w:ascii="Arial" w:eastAsia="Calibri" w:hAnsi="Arial" w:cs="Arial"/>
          <w:sz w:val="22"/>
          <w:szCs w:val="22"/>
        </w:rPr>
        <w:t xml:space="preserve">ABFA Code of Ethics and Conduct. </w:t>
      </w:r>
      <w:hyperlink r:id="rId40" w:history="1">
        <w:r w:rsidRPr="003C493E">
          <w:rPr>
            <w:rStyle w:val="Hyperlink"/>
            <w:rFonts w:ascii="Arial" w:eastAsia="Calibri" w:hAnsi="Arial" w:cs="Arial"/>
            <w:sz w:val="22"/>
            <w:szCs w:val="22"/>
          </w:rPr>
          <w:t>https://www.theabfa.org/code-of-ethics-and-conduct</w:t>
        </w:r>
      </w:hyperlink>
      <w:r w:rsidRPr="005B42C9">
        <w:rPr>
          <w:rFonts w:ascii="Arial" w:eastAsia="Calibri" w:hAnsi="Arial" w:cs="Arial"/>
          <w:sz w:val="22"/>
          <w:szCs w:val="22"/>
        </w:rPr>
        <w:t xml:space="preserve"> [A16.3; A16.4]</w:t>
      </w:r>
    </w:p>
    <w:p w14:paraId="255B9AC5" w14:textId="377C9204" w:rsidR="005B42C9" w:rsidRPr="005B42C9" w:rsidRDefault="005B42C9" w:rsidP="005528EA">
      <w:pPr>
        <w:spacing w:after="240"/>
        <w:rPr>
          <w:rFonts w:ascii="Arial" w:eastAsia="Calibri" w:hAnsi="Arial" w:cs="Arial"/>
          <w:sz w:val="22"/>
          <w:szCs w:val="22"/>
        </w:rPr>
      </w:pPr>
      <w:r w:rsidRPr="005B42C9">
        <w:rPr>
          <w:rFonts w:ascii="Arial" w:eastAsia="Calibri" w:hAnsi="Arial" w:cs="Arial"/>
          <w:sz w:val="22"/>
          <w:szCs w:val="22"/>
        </w:rPr>
        <w:t xml:space="preserve">Leung K. N., </w:t>
      </w:r>
      <w:proofErr w:type="spellStart"/>
      <w:r w:rsidRPr="005B42C9">
        <w:rPr>
          <w:rFonts w:ascii="Arial" w:eastAsia="Calibri" w:hAnsi="Arial" w:cs="Arial"/>
          <w:sz w:val="22"/>
          <w:szCs w:val="22"/>
        </w:rPr>
        <w:t>Nakhaeizadeh</w:t>
      </w:r>
      <w:proofErr w:type="spellEnd"/>
      <w:r w:rsidRPr="005B42C9">
        <w:rPr>
          <w:rFonts w:ascii="Arial" w:eastAsia="Calibri" w:hAnsi="Arial" w:cs="Arial"/>
          <w:sz w:val="22"/>
          <w:szCs w:val="22"/>
        </w:rPr>
        <w:t>, S., &amp; Morgan, R. M. (2024) A global survey of the attitudes and perspectives of cognitive bias in forensic anthropology. Science &amp; Justice</w:t>
      </w:r>
      <w:r w:rsidR="00B81797">
        <w:rPr>
          <w:rFonts w:ascii="Arial" w:eastAsia="Calibri" w:hAnsi="Arial" w:cs="Arial"/>
          <w:sz w:val="22"/>
          <w:szCs w:val="22"/>
        </w:rPr>
        <w:t>,</w:t>
      </w:r>
      <w:r w:rsidRPr="005B42C9">
        <w:rPr>
          <w:rFonts w:ascii="Arial" w:eastAsia="Calibri" w:hAnsi="Arial" w:cs="Arial"/>
          <w:sz w:val="22"/>
          <w:szCs w:val="22"/>
        </w:rPr>
        <w:t xml:space="preserve"> 64(4):347-359.</w:t>
      </w:r>
      <w:r w:rsidR="00B81797">
        <w:rPr>
          <w:rFonts w:ascii="Arial" w:eastAsia="Calibri" w:hAnsi="Arial" w:cs="Arial"/>
          <w:sz w:val="22"/>
          <w:szCs w:val="22"/>
        </w:rPr>
        <w:t xml:space="preserve"> [A16.3]</w:t>
      </w:r>
    </w:p>
    <w:p w14:paraId="464D32FC" w14:textId="77777777" w:rsidR="005B42C9" w:rsidRPr="005B42C9" w:rsidRDefault="005B42C9" w:rsidP="005528EA">
      <w:pPr>
        <w:spacing w:after="240"/>
        <w:rPr>
          <w:rFonts w:ascii="Arial" w:eastAsia="Calibri" w:hAnsi="Arial" w:cs="Arial"/>
          <w:sz w:val="22"/>
          <w:szCs w:val="22"/>
        </w:rPr>
      </w:pPr>
      <w:r w:rsidRPr="005B42C9">
        <w:rPr>
          <w:rFonts w:ascii="Arial" w:eastAsia="Calibri" w:hAnsi="Arial" w:cs="Arial"/>
          <w:sz w:val="22"/>
          <w:szCs w:val="22"/>
        </w:rPr>
        <w:t>Passalacqua, N.V., and M.A. Pilloud. (2018). Ethics and Professionalism in Forensic Anthropology. Academic Process, San Diego, CA. [A16.1, A16.2, A16.3]</w:t>
      </w:r>
    </w:p>
    <w:p w14:paraId="7E8F4FEB" w14:textId="24140321" w:rsidR="005B42C9" w:rsidRPr="005B42C9" w:rsidRDefault="005B42C9" w:rsidP="005528EA">
      <w:pPr>
        <w:spacing w:after="240"/>
        <w:rPr>
          <w:rFonts w:ascii="Arial" w:eastAsia="Calibri" w:hAnsi="Arial" w:cs="Arial"/>
          <w:sz w:val="22"/>
          <w:szCs w:val="22"/>
        </w:rPr>
      </w:pPr>
      <w:r w:rsidRPr="005B42C9">
        <w:rPr>
          <w:rFonts w:ascii="Arial" w:eastAsia="Calibri" w:hAnsi="Arial" w:cs="Arial"/>
          <w:sz w:val="22"/>
          <w:szCs w:val="22"/>
        </w:rPr>
        <w:t xml:space="preserve">Texas Code of Professional Responsibility for Forensic Analysts and Crime Laboratory Managers.  Tex. Admin. Code Ch. 651 § 651.219 </w:t>
      </w:r>
      <w:hyperlink r:id="rId41" w:history="1">
        <w:r w:rsidR="00B81797" w:rsidRPr="00B17517">
          <w:rPr>
            <w:rStyle w:val="Hyperlink"/>
            <w:rFonts w:ascii="Arial" w:eastAsia="Calibri" w:hAnsi="Arial" w:cs="Arial"/>
            <w:sz w:val="22"/>
            <w:szCs w:val="22"/>
          </w:rPr>
          <w:t>https://texreg.sos.state.tx.us/public/readtac$ext.TacPage?sl=R&amp;app=9&amp;p_dir=&amp;p_rloc=&amp;p_tloc=&amp;p_ploc=&amp;pg=1&amp;p_tac=&amp;ti=37&amp;pt=15&amp;ch=651&amp;rl=219</w:t>
        </w:r>
      </w:hyperlink>
      <w:r w:rsidRPr="005B42C9">
        <w:rPr>
          <w:rFonts w:ascii="Arial" w:eastAsia="Calibri" w:hAnsi="Arial" w:cs="Arial"/>
          <w:sz w:val="22"/>
          <w:szCs w:val="22"/>
        </w:rPr>
        <w:t xml:space="preserve"> [Note: This document was written by the Texas Forensic Science Commission, but is applicable to all practitioners.]</w:t>
      </w:r>
    </w:p>
    <w:p w14:paraId="5AF9E04F" w14:textId="634F8108" w:rsidR="005B42C9" w:rsidRPr="005B42C9" w:rsidRDefault="005B42C9" w:rsidP="005528EA">
      <w:pPr>
        <w:spacing w:after="240"/>
        <w:rPr>
          <w:rFonts w:ascii="Arial" w:eastAsia="Calibri" w:hAnsi="Arial" w:cs="Arial"/>
          <w:sz w:val="22"/>
          <w:szCs w:val="22"/>
        </w:rPr>
      </w:pPr>
      <w:r w:rsidRPr="005B42C9">
        <w:rPr>
          <w:rFonts w:ascii="Arial" w:eastAsia="Calibri" w:hAnsi="Arial" w:cs="Arial"/>
          <w:sz w:val="22"/>
          <w:szCs w:val="22"/>
        </w:rPr>
        <w:t xml:space="preserve">Scientific Working Group for Forensic Anthropology (SWGANTH): Code of Ethics and Conduct, Revision 1. (2013)  </w:t>
      </w:r>
      <w:hyperlink r:id="rId42" w:history="1">
        <w:r w:rsidRPr="003C493E">
          <w:rPr>
            <w:rStyle w:val="Hyperlink"/>
            <w:rFonts w:ascii="Arial" w:eastAsia="Calibri" w:hAnsi="Arial" w:cs="Arial"/>
            <w:sz w:val="22"/>
            <w:szCs w:val="22"/>
          </w:rPr>
          <w:t>https://www.nist.gov/osac/subcommittees/forensic-anthropology</w:t>
        </w:r>
      </w:hyperlink>
      <w:r w:rsidRPr="005B42C9">
        <w:rPr>
          <w:rFonts w:ascii="Arial" w:eastAsia="Calibri" w:hAnsi="Arial" w:cs="Arial"/>
          <w:sz w:val="22"/>
          <w:szCs w:val="22"/>
        </w:rPr>
        <w:t xml:space="preserve"> [A11.1, A11.2]</w:t>
      </w:r>
    </w:p>
    <w:p w14:paraId="3F1F0CF1" w14:textId="77777777" w:rsidR="005B42C9" w:rsidRPr="005B42C9" w:rsidRDefault="005B42C9" w:rsidP="002068AC">
      <w:pPr>
        <w:jc w:val="both"/>
        <w:rPr>
          <w:rFonts w:ascii="Arial" w:eastAsia="Calibri" w:hAnsi="Arial" w:cs="Arial"/>
          <w:sz w:val="22"/>
          <w:szCs w:val="22"/>
        </w:rPr>
      </w:pPr>
    </w:p>
    <w:p w14:paraId="25405604" w14:textId="77777777" w:rsidR="005B42C9" w:rsidRPr="005B42C9" w:rsidRDefault="005B42C9" w:rsidP="002068AC">
      <w:pPr>
        <w:jc w:val="both"/>
        <w:rPr>
          <w:rFonts w:ascii="Arial" w:eastAsia="Calibri" w:hAnsi="Arial" w:cs="Arial"/>
          <w:sz w:val="22"/>
          <w:szCs w:val="22"/>
        </w:rPr>
      </w:pPr>
    </w:p>
    <w:p w14:paraId="3030907A" w14:textId="77777777" w:rsidR="005B42C9" w:rsidRPr="005B42C9" w:rsidRDefault="005B42C9" w:rsidP="002068AC">
      <w:pPr>
        <w:jc w:val="both"/>
        <w:rPr>
          <w:rFonts w:ascii="Arial" w:eastAsia="Calibri" w:hAnsi="Arial" w:cs="Arial"/>
          <w:sz w:val="22"/>
          <w:szCs w:val="22"/>
        </w:rPr>
      </w:pPr>
    </w:p>
    <w:p w14:paraId="52235490" w14:textId="77777777" w:rsidR="005B42C9" w:rsidRPr="005B42C9" w:rsidRDefault="005B42C9" w:rsidP="002068AC">
      <w:pPr>
        <w:jc w:val="both"/>
        <w:rPr>
          <w:rFonts w:ascii="Arial" w:eastAsia="Calibri" w:hAnsi="Arial" w:cs="Arial"/>
          <w:sz w:val="22"/>
          <w:szCs w:val="22"/>
        </w:rPr>
      </w:pPr>
    </w:p>
    <w:p w14:paraId="306FF3A7" w14:textId="77777777" w:rsidR="005B42C9" w:rsidRPr="005B42C9" w:rsidRDefault="005B42C9" w:rsidP="002068AC">
      <w:pPr>
        <w:jc w:val="both"/>
        <w:rPr>
          <w:rFonts w:ascii="Arial" w:eastAsia="Calibri" w:hAnsi="Arial" w:cs="Arial"/>
          <w:sz w:val="22"/>
          <w:szCs w:val="22"/>
        </w:rPr>
      </w:pPr>
    </w:p>
    <w:p w14:paraId="51E31141" w14:textId="77777777" w:rsidR="005B42C9" w:rsidRPr="005B42C9" w:rsidRDefault="005B42C9" w:rsidP="002068AC">
      <w:pPr>
        <w:jc w:val="both"/>
        <w:rPr>
          <w:rFonts w:ascii="Arial" w:eastAsia="Calibri" w:hAnsi="Arial" w:cs="Arial"/>
          <w:sz w:val="22"/>
          <w:szCs w:val="22"/>
        </w:rPr>
      </w:pPr>
    </w:p>
    <w:p w14:paraId="0F19BE50" w14:textId="77777777" w:rsidR="005B42C9" w:rsidRPr="005B42C9" w:rsidRDefault="005B42C9" w:rsidP="002068AC">
      <w:pPr>
        <w:jc w:val="both"/>
        <w:rPr>
          <w:rFonts w:ascii="Arial" w:eastAsia="Calibri" w:hAnsi="Arial" w:cs="Arial"/>
          <w:sz w:val="22"/>
          <w:szCs w:val="22"/>
        </w:rPr>
      </w:pPr>
    </w:p>
    <w:p w14:paraId="69A6B26A" w14:textId="77777777" w:rsidR="005B42C9" w:rsidRPr="005B42C9" w:rsidRDefault="005B42C9" w:rsidP="002068AC">
      <w:pPr>
        <w:jc w:val="both"/>
        <w:rPr>
          <w:rFonts w:ascii="Arial" w:eastAsia="Calibri" w:hAnsi="Arial" w:cs="Arial"/>
          <w:sz w:val="22"/>
          <w:szCs w:val="22"/>
        </w:rPr>
      </w:pPr>
    </w:p>
    <w:p w14:paraId="3B1784EB" w14:textId="77777777" w:rsidR="005B42C9" w:rsidRPr="005B42C9" w:rsidRDefault="005B42C9" w:rsidP="002068AC">
      <w:pPr>
        <w:jc w:val="both"/>
        <w:rPr>
          <w:rFonts w:ascii="Arial" w:eastAsia="Calibri" w:hAnsi="Arial" w:cs="Arial"/>
          <w:sz w:val="22"/>
          <w:szCs w:val="22"/>
        </w:rPr>
      </w:pPr>
    </w:p>
    <w:p w14:paraId="1053013E" w14:textId="77777777" w:rsidR="005B42C9" w:rsidRPr="005B42C9" w:rsidRDefault="005B42C9" w:rsidP="002068AC">
      <w:pPr>
        <w:jc w:val="both"/>
        <w:rPr>
          <w:rFonts w:ascii="Arial" w:eastAsia="Calibri" w:hAnsi="Arial" w:cs="Arial"/>
          <w:sz w:val="22"/>
          <w:szCs w:val="22"/>
        </w:rPr>
      </w:pPr>
    </w:p>
    <w:p w14:paraId="5B636124" w14:textId="77777777" w:rsidR="005B42C9" w:rsidRPr="005B42C9" w:rsidRDefault="005B42C9" w:rsidP="002068AC">
      <w:pPr>
        <w:jc w:val="both"/>
        <w:rPr>
          <w:rFonts w:ascii="Arial" w:eastAsia="Calibri" w:hAnsi="Arial" w:cs="Arial"/>
          <w:sz w:val="22"/>
          <w:szCs w:val="22"/>
        </w:rPr>
      </w:pPr>
    </w:p>
    <w:p w14:paraId="0E929612" w14:textId="77777777" w:rsidR="005B42C9" w:rsidRPr="005B42C9" w:rsidRDefault="005B42C9" w:rsidP="002068AC">
      <w:pPr>
        <w:jc w:val="both"/>
        <w:rPr>
          <w:rFonts w:ascii="Arial" w:eastAsia="Calibri" w:hAnsi="Arial" w:cs="Arial"/>
          <w:sz w:val="22"/>
          <w:szCs w:val="22"/>
        </w:rPr>
      </w:pPr>
    </w:p>
    <w:p w14:paraId="6A815DBC" w14:textId="77777777" w:rsidR="005B42C9" w:rsidRPr="005B42C9" w:rsidRDefault="005B42C9" w:rsidP="002068AC">
      <w:pPr>
        <w:jc w:val="both"/>
        <w:rPr>
          <w:rFonts w:ascii="Arial" w:eastAsia="Calibri" w:hAnsi="Arial" w:cs="Arial"/>
          <w:sz w:val="22"/>
          <w:szCs w:val="22"/>
        </w:rPr>
      </w:pPr>
    </w:p>
    <w:p w14:paraId="7FF5DBF2" w14:textId="77777777" w:rsidR="005B42C9" w:rsidRPr="00C90799" w:rsidRDefault="005B42C9" w:rsidP="002068AC">
      <w:pPr>
        <w:jc w:val="both"/>
        <w:rPr>
          <w:rFonts w:ascii="Arial" w:eastAsia="Calibri" w:hAnsi="Arial" w:cs="Arial"/>
          <w:b/>
          <w:bCs/>
        </w:rPr>
      </w:pPr>
      <w:r w:rsidRPr="00C90799">
        <w:rPr>
          <w:rFonts w:ascii="Arial" w:eastAsia="Calibri" w:hAnsi="Arial" w:cs="Arial"/>
          <w:b/>
          <w:bCs/>
        </w:rPr>
        <w:lastRenderedPageBreak/>
        <w:t xml:space="preserve">Historical References </w:t>
      </w:r>
    </w:p>
    <w:p w14:paraId="1603CD46" w14:textId="77777777" w:rsidR="005B42C9" w:rsidRDefault="005B42C9" w:rsidP="002068AC">
      <w:pPr>
        <w:jc w:val="both"/>
        <w:rPr>
          <w:rFonts w:ascii="Arial" w:eastAsia="Calibri" w:hAnsi="Arial" w:cs="Arial"/>
          <w:sz w:val="22"/>
          <w:szCs w:val="22"/>
        </w:rPr>
      </w:pPr>
      <w:r w:rsidRPr="005B42C9">
        <w:rPr>
          <w:rFonts w:ascii="Arial" w:eastAsia="Calibri" w:hAnsi="Arial" w:cs="Arial"/>
          <w:sz w:val="22"/>
          <w:szCs w:val="22"/>
        </w:rPr>
        <w:t xml:space="preserve">These references are important work preceding more recent methods. Examinees should be familiar with these but will not be asked specific questions about the articles or methods contained within. </w:t>
      </w:r>
    </w:p>
    <w:p w14:paraId="609E180C" w14:textId="77777777" w:rsidR="00C90799" w:rsidRPr="005B42C9" w:rsidRDefault="00C90799" w:rsidP="002068AC">
      <w:pPr>
        <w:jc w:val="both"/>
        <w:rPr>
          <w:rFonts w:ascii="Arial" w:eastAsia="Calibri" w:hAnsi="Arial" w:cs="Arial"/>
          <w:sz w:val="22"/>
          <w:szCs w:val="22"/>
        </w:rPr>
      </w:pPr>
    </w:p>
    <w:p w14:paraId="2AE6C1BC" w14:textId="110A2424" w:rsidR="005B42C9" w:rsidRPr="00C90799" w:rsidRDefault="005B42C9" w:rsidP="002068AC">
      <w:pPr>
        <w:spacing w:after="240"/>
        <w:jc w:val="both"/>
        <w:rPr>
          <w:rFonts w:ascii="Arial" w:eastAsia="Calibri" w:hAnsi="Arial" w:cs="Arial"/>
          <w:sz w:val="22"/>
          <w:szCs w:val="22"/>
        </w:rPr>
      </w:pPr>
      <w:r w:rsidRPr="00C90799">
        <w:rPr>
          <w:rFonts w:ascii="Arial" w:eastAsia="Calibri" w:hAnsi="Arial" w:cs="Arial"/>
          <w:sz w:val="22"/>
          <w:szCs w:val="22"/>
        </w:rPr>
        <w:t>Barnes, E. (1994) Developmental Defects of the Axial Skeleton in Paleopathology.  University Press of Colorado, Niwot, CO.</w:t>
      </w:r>
    </w:p>
    <w:p w14:paraId="71A311D3" w14:textId="2AF4CF46" w:rsidR="005B42C9" w:rsidRPr="00C90799" w:rsidRDefault="005B42C9" w:rsidP="002068AC">
      <w:pPr>
        <w:spacing w:after="240"/>
        <w:jc w:val="both"/>
        <w:rPr>
          <w:rFonts w:ascii="Arial" w:eastAsia="Calibri" w:hAnsi="Arial" w:cs="Arial"/>
          <w:sz w:val="22"/>
          <w:szCs w:val="22"/>
        </w:rPr>
      </w:pPr>
      <w:r w:rsidRPr="00C90799">
        <w:rPr>
          <w:rFonts w:ascii="Arial" w:eastAsia="Calibri" w:hAnsi="Arial" w:cs="Arial"/>
          <w:sz w:val="22"/>
          <w:szCs w:val="22"/>
        </w:rPr>
        <w:t xml:space="preserve">Berg, G. E. (2008) Pubic bone age estimation in adult women.  Journal of Forensic Sciences 53:569-577. </w:t>
      </w:r>
    </w:p>
    <w:p w14:paraId="17EFC544" w14:textId="3594F084" w:rsidR="005B42C9" w:rsidRPr="00C90799" w:rsidRDefault="005B42C9" w:rsidP="002068AC">
      <w:pPr>
        <w:spacing w:after="240"/>
        <w:jc w:val="both"/>
        <w:rPr>
          <w:rFonts w:ascii="Arial" w:eastAsia="Calibri" w:hAnsi="Arial" w:cs="Arial"/>
          <w:sz w:val="22"/>
          <w:szCs w:val="22"/>
        </w:rPr>
      </w:pPr>
      <w:proofErr w:type="spellStart"/>
      <w:r w:rsidRPr="00C90799">
        <w:rPr>
          <w:rFonts w:ascii="Arial" w:eastAsia="Calibri" w:hAnsi="Arial" w:cs="Arial"/>
          <w:sz w:val="22"/>
          <w:szCs w:val="22"/>
        </w:rPr>
        <w:t>Behrensmeyer</w:t>
      </w:r>
      <w:proofErr w:type="spellEnd"/>
      <w:r w:rsidRPr="00C90799">
        <w:rPr>
          <w:rFonts w:ascii="Arial" w:eastAsia="Calibri" w:hAnsi="Arial" w:cs="Arial"/>
          <w:sz w:val="22"/>
          <w:szCs w:val="22"/>
        </w:rPr>
        <w:t xml:space="preserve">, A. K. (1978) Taphonomic and ecologic information from bone weathering.  </w:t>
      </w:r>
      <w:proofErr w:type="spellStart"/>
      <w:r w:rsidRPr="00C90799">
        <w:rPr>
          <w:rFonts w:ascii="Arial" w:eastAsia="Calibri" w:hAnsi="Arial" w:cs="Arial"/>
          <w:sz w:val="22"/>
          <w:szCs w:val="22"/>
        </w:rPr>
        <w:t>Palaeobiology</w:t>
      </w:r>
      <w:proofErr w:type="spellEnd"/>
      <w:r w:rsidRPr="00C90799">
        <w:rPr>
          <w:rFonts w:ascii="Arial" w:eastAsia="Calibri" w:hAnsi="Arial" w:cs="Arial"/>
          <w:sz w:val="22"/>
          <w:szCs w:val="22"/>
        </w:rPr>
        <w:t xml:space="preserve"> 4:150-162. </w:t>
      </w:r>
    </w:p>
    <w:p w14:paraId="646F6DAF" w14:textId="5C137E56" w:rsidR="005B42C9" w:rsidRPr="00C90799" w:rsidRDefault="005B42C9" w:rsidP="002068AC">
      <w:pPr>
        <w:spacing w:after="240"/>
        <w:jc w:val="both"/>
        <w:rPr>
          <w:rFonts w:ascii="Arial" w:eastAsia="Calibri" w:hAnsi="Arial" w:cs="Arial"/>
          <w:sz w:val="22"/>
          <w:szCs w:val="22"/>
        </w:rPr>
      </w:pPr>
      <w:r w:rsidRPr="00C90799">
        <w:rPr>
          <w:rFonts w:ascii="Arial" w:eastAsia="Calibri" w:hAnsi="Arial" w:cs="Arial"/>
          <w:sz w:val="22"/>
          <w:szCs w:val="22"/>
        </w:rPr>
        <w:t>Brogdon, B. G. (1998) Forensic Radiology. CRC Press: Boca Raton.</w:t>
      </w:r>
    </w:p>
    <w:p w14:paraId="21CFC451" w14:textId="22A8E65B" w:rsidR="005B42C9" w:rsidRPr="00C90799" w:rsidRDefault="005B42C9" w:rsidP="002068AC">
      <w:pPr>
        <w:spacing w:after="240"/>
        <w:jc w:val="both"/>
        <w:rPr>
          <w:rFonts w:ascii="Arial" w:eastAsia="Calibri" w:hAnsi="Arial" w:cs="Arial"/>
          <w:sz w:val="22"/>
          <w:szCs w:val="22"/>
        </w:rPr>
      </w:pPr>
      <w:r w:rsidRPr="00C90799">
        <w:rPr>
          <w:rFonts w:ascii="Arial" w:eastAsia="Calibri" w:hAnsi="Arial" w:cs="Arial"/>
          <w:sz w:val="22"/>
          <w:szCs w:val="22"/>
        </w:rPr>
        <w:t xml:space="preserve">Brooks, S., and J. M. Suchey (1990) Skeletal age determination based on the </w:t>
      </w:r>
      <w:proofErr w:type="spellStart"/>
      <w:r w:rsidRPr="00C90799">
        <w:rPr>
          <w:rFonts w:ascii="Arial" w:eastAsia="Calibri" w:hAnsi="Arial" w:cs="Arial"/>
          <w:sz w:val="22"/>
          <w:szCs w:val="22"/>
        </w:rPr>
        <w:t>os</w:t>
      </w:r>
      <w:proofErr w:type="spellEnd"/>
      <w:r w:rsidRPr="00C90799">
        <w:rPr>
          <w:rFonts w:ascii="Arial" w:eastAsia="Calibri" w:hAnsi="Arial" w:cs="Arial"/>
          <w:sz w:val="22"/>
          <w:szCs w:val="22"/>
        </w:rPr>
        <w:t xml:space="preserve"> pubis:  A comparison of the Acsádi-</w:t>
      </w:r>
      <w:proofErr w:type="spellStart"/>
      <w:r w:rsidRPr="00C90799">
        <w:rPr>
          <w:rFonts w:ascii="Arial" w:eastAsia="Calibri" w:hAnsi="Arial" w:cs="Arial"/>
          <w:sz w:val="22"/>
          <w:szCs w:val="22"/>
        </w:rPr>
        <w:t>Nemeskéri</w:t>
      </w:r>
      <w:proofErr w:type="spellEnd"/>
      <w:r w:rsidRPr="00C90799">
        <w:rPr>
          <w:rFonts w:ascii="Arial" w:eastAsia="Calibri" w:hAnsi="Arial" w:cs="Arial"/>
          <w:sz w:val="22"/>
          <w:szCs w:val="22"/>
        </w:rPr>
        <w:t xml:space="preserve"> and Suchey-Brooks methods.  Human Evolution 5:227-238. </w:t>
      </w:r>
    </w:p>
    <w:p w14:paraId="3AAB26ED" w14:textId="6479B109" w:rsidR="005B42C9" w:rsidRPr="00C90799" w:rsidRDefault="005B42C9" w:rsidP="002068AC">
      <w:pPr>
        <w:spacing w:after="240"/>
        <w:jc w:val="both"/>
        <w:rPr>
          <w:rFonts w:ascii="Arial" w:eastAsia="Calibri" w:hAnsi="Arial" w:cs="Arial"/>
          <w:sz w:val="22"/>
          <w:szCs w:val="22"/>
        </w:rPr>
      </w:pPr>
      <w:r w:rsidRPr="00C90799">
        <w:rPr>
          <w:rFonts w:ascii="Arial" w:eastAsia="Calibri" w:hAnsi="Arial" w:cs="Arial"/>
          <w:sz w:val="22"/>
          <w:szCs w:val="22"/>
        </w:rPr>
        <w:t xml:space="preserve">Buikstra, J. E., and D. H. Ubelaker (eds.) (1994). Standards for Data Collection from Human Skeletal Remains.  Arkansas Archeological Survey Research Series No. 44, Fayetteville, AR. </w:t>
      </w:r>
    </w:p>
    <w:p w14:paraId="53012139" w14:textId="036CDF10" w:rsidR="005B42C9" w:rsidRPr="00C90799" w:rsidRDefault="005B42C9" w:rsidP="002068AC">
      <w:pPr>
        <w:spacing w:after="240"/>
        <w:jc w:val="both"/>
        <w:rPr>
          <w:rFonts w:ascii="Arial" w:eastAsia="Calibri" w:hAnsi="Arial" w:cs="Arial"/>
          <w:sz w:val="22"/>
          <w:szCs w:val="22"/>
        </w:rPr>
      </w:pPr>
      <w:r w:rsidRPr="00C90799">
        <w:rPr>
          <w:rFonts w:ascii="Arial" w:eastAsia="Calibri" w:hAnsi="Arial" w:cs="Arial"/>
          <w:sz w:val="22"/>
          <w:szCs w:val="22"/>
        </w:rPr>
        <w:t xml:space="preserve">Fazekas, G., and F. Kósa (1978) Forensic Fetal Osteology.  </w:t>
      </w:r>
      <w:proofErr w:type="spellStart"/>
      <w:r w:rsidRPr="00C90799">
        <w:rPr>
          <w:rFonts w:ascii="Arial" w:eastAsia="Calibri" w:hAnsi="Arial" w:cs="Arial"/>
          <w:sz w:val="22"/>
          <w:szCs w:val="22"/>
        </w:rPr>
        <w:t>Akadémiai</w:t>
      </w:r>
      <w:proofErr w:type="spellEnd"/>
      <w:r w:rsidRPr="00C90799">
        <w:rPr>
          <w:rFonts w:ascii="Arial" w:eastAsia="Calibri" w:hAnsi="Arial" w:cs="Arial"/>
          <w:sz w:val="22"/>
          <w:szCs w:val="22"/>
        </w:rPr>
        <w:t xml:space="preserve"> </w:t>
      </w:r>
      <w:proofErr w:type="spellStart"/>
      <w:r w:rsidRPr="00C90799">
        <w:rPr>
          <w:rFonts w:ascii="Arial" w:eastAsia="Calibri" w:hAnsi="Arial" w:cs="Arial"/>
          <w:sz w:val="22"/>
          <w:szCs w:val="22"/>
        </w:rPr>
        <w:t>Kiadó</w:t>
      </w:r>
      <w:proofErr w:type="spellEnd"/>
      <w:r w:rsidRPr="00C90799">
        <w:rPr>
          <w:rFonts w:ascii="Arial" w:eastAsia="Calibri" w:hAnsi="Arial" w:cs="Arial"/>
          <w:sz w:val="22"/>
          <w:szCs w:val="22"/>
        </w:rPr>
        <w:t xml:space="preserve">, Budapest. </w:t>
      </w:r>
    </w:p>
    <w:p w14:paraId="6D645A5A" w14:textId="1E946904" w:rsidR="005B42C9" w:rsidRPr="00C90799" w:rsidRDefault="005B42C9" w:rsidP="002068AC">
      <w:pPr>
        <w:spacing w:after="240"/>
        <w:jc w:val="both"/>
        <w:rPr>
          <w:rFonts w:ascii="Arial" w:eastAsia="Calibri" w:hAnsi="Arial" w:cs="Arial"/>
          <w:sz w:val="22"/>
          <w:szCs w:val="22"/>
        </w:rPr>
      </w:pPr>
      <w:r w:rsidRPr="00C90799">
        <w:rPr>
          <w:rFonts w:ascii="Arial" w:eastAsia="Calibri" w:hAnsi="Arial" w:cs="Arial"/>
          <w:sz w:val="22"/>
          <w:szCs w:val="22"/>
        </w:rPr>
        <w:t xml:space="preserve">Fully, G. (1956) Une nouvelle method de determination de la taille.  Annales de Medicine </w:t>
      </w:r>
      <w:proofErr w:type="spellStart"/>
      <w:r w:rsidRPr="00C90799">
        <w:rPr>
          <w:rFonts w:ascii="Arial" w:eastAsia="Calibri" w:hAnsi="Arial" w:cs="Arial"/>
          <w:sz w:val="22"/>
          <w:szCs w:val="22"/>
        </w:rPr>
        <w:t>Legale</w:t>
      </w:r>
      <w:proofErr w:type="spellEnd"/>
      <w:r w:rsidRPr="00C90799">
        <w:rPr>
          <w:rFonts w:ascii="Arial" w:eastAsia="Calibri" w:hAnsi="Arial" w:cs="Arial"/>
          <w:sz w:val="22"/>
          <w:szCs w:val="22"/>
        </w:rPr>
        <w:t xml:space="preserve"> et de </w:t>
      </w:r>
      <w:proofErr w:type="spellStart"/>
      <w:r w:rsidRPr="00C90799">
        <w:rPr>
          <w:rFonts w:ascii="Arial" w:eastAsia="Calibri" w:hAnsi="Arial" w:cs="Arial"/>
          <w:sz w:val="22"/>
          <w:szCs w:val="22"/>
        </w:rPr>
        <w:t>Criminologie</w:t>
      </w:r>
      <w:proofErr w:type="spellEnd"/>
      <w:r w:rsidRPr="00C90799">
        <w:rPr>
          <w:rFonts w:ascii="Arial" w:eastAsia="Calibri" w:hAnsi="Arial" w:cs="Arial"/>
          <w:sz w:val="22"/>
          <w:szCs w:val="22"/>
        </w:rPr>
        <w:t xml:space="preserve"> 36:266-273.</w:t>
      </w:r>
    </w:p>
    <w:p w14:paraId="3DEB15F2" w14:textId="334553C9" w:rsidR="005B42C9" w:rsidRPr="00C90799" w:rsidRDefault="005B42C9" w:rsidP="002068AC">
      <w:pPr>
        <w:spacing w:after="240"/>
        <w:jc w:val="both"/>
        <w:rPr>
          <w:rFonts w:ascii="Arial" w:eastAsia="Calibri" w:hAnsi="Arial" w:cs="Arial"/>
          <w:sz w:val="22"/>
          <w:szCs w:val="22"/>
        </w:rPr>
      </w:pPr>
      <w:proofErr w:type="spellStart"/>
      <w:r w:rsidRPr="00C90799">
        <w:rPr>
          <w:rFonts w:ascii="Arial" w:eastAsia="Calibri" w:hAnsi="Arial" w:cs="Arial"/>
          <w:sz w:val="22"/>
          <w:szCs w:val="22"/>
        </w:rPr>
        <w:t>İşcan</w:t>
      </w:r>
      <w:proofErr w:type="spellEnd"/>
      <w:r w:rsidRPr="00C90799">
        <w:rPr>
          <w:rFonts w:ascii="Arial" w:eastAsia="Calibri" w:hAnsi="Arial" w:cs="Arial"/>
          <w:sz w:val="22"/>
          <w:szCs w:val="22"/>
        </w:rPr>
        <w:t>, M. Y., S. R. Loth, and R. K. Wright (1984) Age estimation from the rib by phase analysis:  White males.  Journal of Forensic Sciences 29:1094-1104.</w:t>
      </w:r>
    </w:p>
    <w:p w14:paraId="7EB5CA70" w14:textId="1210F78D" w:rsidR="005B42C9" w:rsidRPr="00C90799" w:rsidRDefault="005B42C9" w:rsidP="002068AC">
      <w:pPr>
        <w:spacing w:after="240"/>
        <w:jc w:val="both"/>
        <w:rPr>
          <w:rFonts w:ascii="Arial" w:eastAsia="Calibri" w:hAnsi="Arial" w:cs="Arial"/>
          <w:sz w:val="22"/>
          <w:szCs w:val="22"/>
        </w:rPr>
      </w:pPr>
      <w:proofErr w:type="spellStart"/>
      <w:r w:rsidRPr="00C90799">
        <w:rPr>
          <w:rFonts w:ascii="Arial" w:eastAsia="Calibri" w:hAnsi="Arial" w:cs="Arial"/>
          <w:sz w:val="22"/>
          <w:szCs w:val="22"/>
        </w:rPr>
        <w:t>İşcan</w:t>
      </w:r>
      <w:proofErr w:type="spellEnd"/>
      <w:r w:rsidRPr="00C90799">
        <w:rPr>
          <w:rFonts w:ascii="Arial" w:eastAsia="Calibri" w:hAnsi="Arial" w:cs="Arial"/>
          <w:sz w:val="22"/>
          <w:szCs w:val="22"/>
        </w:rPr>
        <w:t xml:space="preserve">, M. Y., S. R. Loth, and R. K. Wright (1985) Age estimation from the rib by phase analysis:  White females.  Journal of Forensic Sciences 30:853-863. </w:t>
      </w:r>
    </w:p>
    <w:p w14:paraId="1F242F9D" w14:textId="06F50AAF" w:rsidR="005B42C9" w:rsidRPr="00C90799" w:rsidRDefault="005B42C9" w:rsidP="002068AC">
      <w:pPr>
        <w:spacing w:after="240"/>
        <w:jc w:val="both"/>
        <w:rPr>
          <w:rFonts w:ascii="Arial" w:eastAsia="Calibri" w:hAnsi="Arial" w:cs="Arial"/>
          <w:sz w:val="22"/>
          <w:szCs w:val="22"/>
        </w:rPr>
      </w:pPr>
      <w:proofErr w:type="spellStart"/>
      <w:r w:rsidRPr="00C90799">
        <w:rPr>
          <w:rFonts w:ascii="Arial" w:eastAsia="Calibri" w:hAnsi="Arial" w:cs="Arial"/>
          <w:sz w:val="22"/>
          <w:szCs w:val="22"/>
        </w:rPr>
        <w:t>İşcan</w:t>
      </w:r>
      <w:proofErr w:type="spellEnd"/>
      <w:r w:rsidRPr="00C90799">
        <w:rPr>
          <w:rFonts w:ascii="Arial" w:eastAsia="Calibri" w:hAnsi="Arial" w:cs="Arial"/>
          <w:sz w:val="22"/>
          <w:szCs w:val="22"/>
        </w:rPr>
        <w:t>, M. Y., S. R. Loth, and R. K. Wright (1987) Racial variation in the sternal extremity of the rib and its effect on age determination.  Journal of Forensic Sciences 33:452-456.</w:t>
      </w:r>
    </w:p>
    <w:p w14:paraId="4A435681" w14:textId="170B8361" w:rsidR="005B42C9" w:rsidRPr="00C90799" w:rsidRDefault="005B42C9" w:rsidP="002068AC">
      <w:pPr>
        <w:spacing w:after="240"/>
        <w:jc w:val="both"/>
        <w:rPr>
          <w:rFonts w:ascii="Arial" w:eastAsia="Calibri" w:hAnsi="Arial" w:cs="Arial"/>
          <w:sz w:val="22"/>
          <w:szCs w:val="22"/>
        </w:rPr>
      </w:pPr>
      <w:r w:rsidRPr="00C90799">
        <w:rPr>
          <w:rFonts w:ascii="Arial" w:eastAsia="Calibri" w:hAnsi="Arial" w:cs="Arial"/>
          <w:sz w:val="22"/>
          <w:szCs w:val="22"/>
        </w:rPr>
        <w:t>Jantz, R. L., D. R. Hunt, and L. Meadows (1995) The measure and mismeasure of the tibia:  Implications for stature estimation.  Journal of Forensic Sciences 40(5):758-761.</w:t>
      </w:r>
    </w:p>
    <w:p w14:paraId="145A5CBF" w14:textId="575D7490" w:rsidR="005B42C9" w:rsidRPr="00C90799" w:rsidRDefault="005B42C9" w:rsidP="002068AC">
      <w:pPr>
        <w:spacing w:after="240"/>
        <w:jc w:val="both"/>
        <w:rPr>
          <w:rFonts w:ascii="Arial" w:eastAsia="Calibri" w:hAnsi="Arial" w:cs="Arial"/>
          <w:sz w:val="22"/>
          <w:szCs w:val="22"/>
        </w:rPr>
      </w:pPr>
      <w:proofErr w:type="spellStart"/>
      <w:r w:rsidRPr="00C90799">
        <w:rPr>
          <w:rFonts w:ascii="Arial" w:eastAsia="Calibri" w:hAnsi="Arial" w:cs="Arial"/>
          <w:sz w:val="22"/>
          <w:szCs w:val="22"/>
        </w:rPr>
        <w:t>Klales</w:t>
      </w:r>
      <w:proofErr w:type="spellEnd"/>
      <w:r w:rsidRPr="00C90799">
        <w:rPr>
          <w:rFonts w:ascii="Arial" w:eastAsia="Calibri" w:hAnsi="Arial" w:cs="Arial"/>
          <w:sz w:val="22"/>
          <w:szCs w:val="22"/>
        </w:rPr>
        <w:t>, A. R., S. D. Ousley, and J. M. Vollner (2012) A revised method of sexing the human innominate using Phenice's nonmetric traits and statistical methods.  American Journal of Physical Anthropology 149:104-114.</w:t>
      </w:r>
    </w:p>
    <w:p w14:paraId="69A4C29B" w14:textId="78DEBB31" w:rsidR="005B42C9" w:rsidRPr="00C90799" w:rsidRDefault="005B42C9" w:rsidP="002068AC">
      <w:pPr>
        <w:spacing w:after="240"/>
        <w:jc w:val="both"/>
        <w:rPr>
          <w:rFonts w:ascii="Arial" w:eastAsia="Calibri" w:hAnsi="Arial" w:cs="Arial"/>
          <w:sz w:val="22"/>
          <w:szCs w:val="22"/>
        </w:rPr>
      </w:pPr>
      <w:r w:rsidRPr="00C90799">
        <w:rPr>
          <w:rFonts w:ascii="Arial" w:eastAsia="Calibri" w:hAnsi="Arial" w:cs="Arial"/>
          <w:sz w:val="22"/>
          <w:szCs w:val="22"/>
        </w:rPr>
        <w:t xml:space="preserve">Lovejoy, C. O., R. S. Meindl, T. R. </w:t>
      </w:r>
      <w:proofErr w:type="spellStart"/>
      <w:r w:rsidRPr="00C90799">
        <w:rPr>
          <w:rFonts w:ascii="Arial" w:eastAsia="Calibri" w:hAnsi="Arial" w:cs="Arial"/>
          <w:sz w:val="22"/>
          <w:szCs w:val="22"/>
        </w:rPr>
        <w:t>Pryzbeck</w:t>
      </w:r>
      <w:proofErr w:type="spellEnd"/>
      <w:r w:rsidRPr="00C90799">
        <w:rPr>
          <w:rFonts w:ascii="Arial" w:eastAsia="Calibri" w:hAnsi="Arial" w:cs="Arial"/>
          <w:sz w:val="22"/>
          <w:szCs w:val="22"/>
        </w:rPr>
        <w:t xml:space="preserve">, and R. P. </w:t>
      </w:r>
      <w:proofErr w:type="spellStart"/>
      <w:r w:rsidRPr="00C90799">
        <w:rPr>
          <w:rFonts w:ascii="Arial" w:eastAsia="Calibri" w:hAnsi="Arial" w:cs="Arial"/>
          <w:sz w:val="22"/>
          <w:szCs w:val="22"/>
        </w:rPr>
        <w:t>Mensforth</w:t>
      </w:r>
      <w:proofErr w:type="spellEnd"/>
      <w:r w:rsidRPr="00C90799">
        <w:rPr>
          <w:rFonts w:ascii="Arial" w:eastAsia="Calibri" w:hAnsi="Arial" w:cs="Arial"/>
          <w:sz w:val="22"/>
          <w:szCs w:val="22"/>
        </w:rPr>
        <w:t xml:space="preserve"> (1985) Chronological metamorphosis of the auricular surface of the ilium:  A new method for the determination of adult skeletal age at death.  American Journal of Physical Anthropology 68:15-28. </w:t>
      </w:r>
    </w:p>
    <w:p w14:paraId="70CAAF7D" w14:textId="66CD7A8A" w:rsidR="005B42C9" w:rsidRPr="00C90799" w:rsidRDefault="005B42C9" w:rsidP="002068AC">
      <w:pPr>
        <w:spacing w:after="240"/>
        <w:jc w:val="both"/>
        <w:rPr>
          <w:rFonts w:ascii="Arial" w:eastAsia="Calibri" w:hAnsi="Arial" w:cs="Arial"/>
          <w:sz w:val="22"/>
          <w:szCs w:val="22"/>
        </w:rPr>
      </w:pPr>
      <w:r w:rsidRPr="00C90799">
        <w:rPr>
          <w:rFonts w:ascii="Arial" w:eastAsia="Calibri" w:hAnsi="Arial" w:cs="Arial"/>
          <w:sz w:val="22"/>
          <w:szCs w:val="22"/>
        </w:rPr>
        <w:t xml:space="preserve">McKern, T. W., and T. D. Stewart (1957) Skeletal Age Changes in Young American Males.  Quartermaster Research and Development Command Technical Report EP-45, Natick, MA. </w:t>
      </w:r>
    </w:p>
    <w:p w14:paraId="2ABB3FEE" w14:textId="5432EE87" w:rsidR="005B42C9" w:rsidRPr="00C90799" w:rsidRDefault="005B42C9" w:rsidP="002068AC">
      <w:pPr>
        <w:spacing w:after="240"/>
        <w:jc w:val="both"/>
        <w:rPr>
          <w:rFonts w:ascii="Arial" w:eastAsia="Calibri" w:hAnsi="Arial" w:cs="Arial"/>
          <w:sz w:val="22"/>
          <w:szCs w:val="22"/>
        </w:rPr>
      </w:pPr>
      <w:proofErr w:type="spellStart"/>
      <w:r w:rsidRPr="00C90799">
        <w:rPr>
          <w:rFonts w:ascii="Arial" w:eastAsia="Calibri" w:hAnsi="Arial" w:cs="Arial"/>
          <w:sz w:val="22"/>
          <w:szCs w:val="22"/>
        </w:rPr>
        <w:t>Moorrees</w:t>
      </w:r>
      <w:proofErr w:type="spellEnd"/>
      <w:r w:rsidRPr="00C90799">
        <w:rPr>
          <w:rFonts w:ascii="Arial" w:eastAsia="Calibri" w:hAnsi="Arial" w:cs="Arial"/>
          <w:sz w:val="22"/>
          <w:szCs w:val="22"/>
        </w:rPr>
        <w:t>, C. F. A., E. A. Fanning, and E. E. Hunt (1963) Age variation of formation stages for ten permanent teeth.  Journal of Dental Research 42:1490-1502.</w:t>
      </w:r>
    </w:p>
    <w:p w14:paraId="6C904821" w14:textId="04F91A74" w:rsidR="005B42C9" w:rsidRPr="00C90799" w:rsidRDefault="005B42C9" w:rsidP="002068AC">
      <w:pPr>
        <w:spacing w:after="240"/>
        <w:jc w:val="both"/>
        <w:rPr>
          <w:rFonts w:ascii="Arial" w:eastAsia="Calibri" w:hAnsi="Arial" w:cs="Arial"/>
          <w:sz w:val="22"/>
          <w:szCs w:val="22"/>
        </w:rPr>
      </w:pPr>
      <w:r w:rsidRPr="00C90799">
        <w:rPr>
          <w:rFonts w:ascii="Arial" w:eastAsia="Calibri" w:hAnsi="Arial" w:cs="Arial"/>
          <w:sz w:val="22"/>
          <w:szCs w:val="22"/>
        </w:rPr>
        <w:lastRenderedPageBreak/>
        <w:t xml:space="preserve">Phenice, T. W. (1969) A newly developed visual method of sexing the </w:t>
      </w:r>
      <w:proofErr w:type="spellStart"/>
      <w:r w:rsidRPr="00C90799">
        <w:rPr>
          <w:rFonts w:ascii="Arial" w:eastAsia="Calibri" w:hAnsi="Arial" w:cs="Arial"/>
          <w:sz w:val="22"/>
          <w:szCs w:val="22"/>
        </w:rPr>
        <w:t>os</w:t>
      </w:r>
      <w:proofErr w:type="spellEnd"/>
      <w:r w:rsidRPr="00C90799">
        <w:rPr>
          <w:rFonts w:ascii="Arial" w:eastAsia="Calibri" w:hAnsi="Arial" w:cs="Arial"/>
          <w:sz w:val="22"/>
          <w:szCs w:val="22"/>
        </w:rPr>
        <w:t xml:space="preserve"> </w:t>
      </w:r>
      <w:proofErr w:type="gramStart"/>
      <w:r w:rsidRPr="00C90799">
        <w:rPr>
          <w:rFonts w:ascii="Arial" w:eastAsia="Calibri" w:hAnsi="Arial" w:cs="Arial"/>
          <w:sz w:val="22"/>
          <w:szCs w:val="22"/>
        </w:rPr>
        <w:t>pubis</w:t>
      </w:r>
      <w:proofErr w:type="gramEnd"/>
      <w:r w:rsidRPr="00C90799">
        <w:rPr>
          <w:rFonts w:ascii="Arial" w:eastAsia="Calibri" w:hAnsi="Arial" w:cs="Arial"/>
          <w:sz w:val="22"/>
          <w:szCs w:val="22"/>
        </w:rPr>
        <w:t xml:space="preserve">.  American Journal of Physical Anthropology 30:297-301. </w:t>
      </w:r>
    </w:p>
    <w:p w14:paraId="762BFC71" w14:textId="7D8D2837" w:rsidR="005B42C9" w:rsidRPr="00C90799" w:rsidRDefault="005B42C9" w:rsidP="002068AC">
      <w:pPr>
        <w:spacing w:after="240"/>
        <w:jc w:val="both"/>
        <w:rPr>
          <w:rFonts w:ascii="Arial" w:eastAsia="Calibri" w:hAnsi="Arial" w:cs="Arial"/>
          <w:sz w:val="22"/>
          <w:szCs w:val="22"/>
        </w:rPr>
      </w:pPr>
      <w:r w:rsidRPr="00C90799">
        <w:rPr>
          <w:rFonts w:ascii="Arial" w:eastAsia="Calibri" w:hAnsi="Arial" w:cs="Arial"/>
          <w:sz w:val="22"/>
          <w:szCs w:val="22"/>
        </w:rPr>
        <w:t xml:space="preserve">Todd T.W. (1920) Age changes in the pubic bone I. The male white pubis. American Journal of Physical Anthropology 3(3):285-328.  </w:t>
      </w:r>
    </w:p>
    <w:p w14:paraId="10806EF8" w14:textId="7984BDA5" w:rsidR="005B42C9" w:rsidRPr="00C90799" w:rsidRDefault="005B42C9" w:rsidP="002068AC">
      <w:pPr>
        <w:spacing w:after="240"/>
        <w:jc w:val="both"/>
        <w:rPr>
          <w:rFonts w:ascii="Arial" w:eastAsia="Calibri" w:hAnsi="Arial" w:cs="Arial"/>
          <w:sz w:val="22"/>
          <w:szCs w:val="22"/>
        </w:rPr>
      </w:pPr>
      <w:r w:rsidRPr="00C90799">
        <w:rPr>
          <w:rFonts w:ascii="Arial" w:eastAsia="Calibri" w:hAnsi="Arial" w:cs="Arial"/>
          <w:sz w:val="22"/>
          <w:szCs w:val="22"/>
        </w:rPr>
        <w:t xml:space="preserve">Trotter, M. and G. C. </w:t>
      </w:r>
      <w:proofErr w:type="spellStart"/>
      <w:r w:rsidRPr="00C90799">
        <w:rPr>
          <w:rFonts w:ascii="Arial" w:eastAsia="Calibri" w:hAnsi="Arial" w:cs="Arial"/>
          <w:sz w:val="22"/>
          <w:szCs w:val="22"/>
        </w:rPr>
        <w:t>Gleser</w:t>
      </w:r>
      <w:proofErr w:type="spellEnd"/>
      <w:r w:rsidRPr="00C90799">
        <w:rPr>
          <w:rFonts w:ascii="Arial" w:eastAsia="Calibri" w:hAnsi="Arial" w:cs="Arial"/>
          <w:sz w:val="22"/>
          <w:szCs w:val="22"/>
        </w:rPr>
        <w:t xml:space="preserve">. (1952) Estimation of stature from long bones of American Whites and Negroes. American Journal of Physical Anthropology 10:463–514. </w:t>
      </w:r>
    </w:p>
    <w:p w14:paraId="2A2DD392" w14:textId="393F8AB9" w:rsidR="005B42C9" w:rsidRPr="00C90799" w:rsidRDefault="005B42C9" w:rsidP="002068AC">
      <w:pPr>
        <w:spacing w:after="240"/>
        <w:jc w:val="both"/>
        <w:rPr>
          <w:rFonts w:ascii="Arial" w:eastAsia="Calibri" w:hAnsi="Arial" w:cs="Arial"/>
          <w:sz w:val="22"/>
          <w:szCs w:val="22"/>
        </w:rPr>
      </w:pPr>
      <w:r w:rsidRPr="00C90799">
        <w:rPr>
          <w:rFonts w:ascii="Arial" w:eastAsia="Calibri" w:hAnsi="Arial" w:cs="Arial"/>
          <w:sz w:val="22"/>
          <w:szCs w:val="22"/>
        </w:rPr>
        <w:t>Walker, P. L. (2008) Sexing skulls using discriminant function analysis of visually assessed traits.  American Journal of Physical Anthropology 136:39-50.</w:t>
      </w:r>
    </w:p>
    <w:p w14:paraId="44CC3B42" w14:textId="77777777" w:rsidR="007D0374" w:rsidRPr="005B42C9" w:rsidRDefault="007D0374" w:rsidP="002068AC">
      <w:pPr>
        <w:jc w:val="both"/>
        <w:rPr>
          <w:rFonts w:ascii="Arial" w:eastAsia="Calibri" w:hAnsi="Arial" w:cs="Arial"/>
          <w:sz w:val="22"/>
          <w:szCs w:val="22"/>
        </w:rPr>
      </w:pPr>
    </w:p>
    <w:sectPr w:rsidR="007D0374" w:rsidRPr="005B42C9">
      <w:headerReference w:type="default" r:id="rId43"/>
      <w:footerReference w:type="default" r:id="rId44"/>
      <w:pgSz w:w="12240" w:h="15840"/>
      <w:pgMar w:top="108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F7163" w14:textId="77777777" w:rsidR="00424B56" w:rsidRDefault="00424B56">
      <w:r>
        <w:separator/>
      </w:r>
    </w:p>
  </w:endnote>
  <w:endnote w:type="continuationSeparator" w:id="0">
    <w:p w14:paraId="1DEDA483" w14:textId="77777777" w:rsidR="00424B56" w:rsidRDefault="0042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C3B61" w14:textId="77777777" w:rsidR="007D0374" w:rsidRDefault="007D0374">
    <w:pPr>
      <w:tabs>
        <w:tab w:val="center" w:pos="4680"/>
        <w:tab w:val="right" w:pos="9360"/>
      </w:tabs>
      <w:spacing w:after="80"/>
      <w:jc w:val="center"/>
      <w:rPr>
        <w:rFonts w:ascii="Calibri" w:eastAsia="Calibri" w:hAnsi="Calibri" w:cs="Calibri"/>
      </w:rPr>
    </w:pPr>
  </w:p>
  <w:p w14:paraId="44CC3B62" w14:textId="3855C958" w:rsidR="007D0374" w:rsidRDefault="00A83DDE">
    <w:pPr>
      <w:pBdr>
        <w:top w:val="nil"/>
        <w:left w:val="nil"/>
        <w:bottom w:val="nil"/>
        <w:right w:val="nil"/>
        <w:between w:val="nil"/>
      </w:pBdr>
      <w:tabs>
        <w:tab w:val="center" w:pos="4680"/>
        <w:tab w:val="right" w:pos="9360"/>
      </w:tabs>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751600">
      <w:rPr>
        <w:rFonts w:ascii="Calibri" w:eastAsia="Calibri" w:hAnsi="Calibri" w:cs="Calibri"/>
        <w:noProof/>
        <w:color w:val="000000"/>
      </w:rPr>
      <w:t>1</w:t>
    </w:r>
    <w:r>
      <w:rPr>
        <w:rFonts w:ascii="Calibri" w:eastAsia="Calibri" w:hAnsi="Calibri" w:cs="Calibri"/>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072D1" w14:textId="77777777" w:rsidR="00424B56" w:rsidRDefault="00424B56">
      <w:r>
        <w:separator/>
      </w:r>
    </w:p>
  </w:footnote>
  <w:footnote w:type="continuationSeparator" w:id="0">
    <w:p w14:paraId="45C5B17E" w14:textId="77777777" w:rsidR="00424B56" w:rsidRDefault="00424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C3B60" w14:textId="77777777" w:rsidR="007D0374" w:rsidRDefault="007D0374">
    <w:pPr>
      <w:spacing w:before="20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303FE"/>
    <w:multiLevelType w:val="hybridMultilevel"/>
    <w:tmpl w:val="69F68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E58FB"/>
    <w:multiLevelType w:val="hybridMultilevel"/>
    <w:tmpl w:val="D8FCF6D2"/>
    <w:lvl w:ilvl="0" w:tplc="565EEF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D62E4"/>
    <w:multiLevelType w:val="hybridMultilevel"/>
    <w:tmpl w:val="D6200D6C"/>
    <w:lvl w:ilvl="0" w:tplc="4D7C04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02AEC"/>
    <w:multiLevelType w:val="multilevel"/>
    <w:tmpl w:val="AF560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660458"/>
    <w:multiLevelType w:val="hybridMultilevel"/>
    <w:tmpl w:val="54C0E0B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E864C5"/>
    <w:multiLevelType w:val="multilevel"/>
    <w:tmpl w:val="3E7ED29E"/>
    <w:lvl w:ilvl="0">
      <w:start w:val="1"/>
      <w:numFmt w:val="decimal"/>
      <w:lvlText w:val="%1."/>
      <w:lvlJc w:val="left"/>
      <w:pPr>
        <w:ind w:left="720" w:hanging="360"/>
      </w:pPr>
      <w:rPr>
        <w:color w:val="FF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26766A6"/>
    <w:multiLevelType w:val="multilevel"/>
    <w:tmpl w:val="824E70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99A77DE"/>
    <w:multiLevelType w:val="multilevel"/>
    <w:tmpl w:val="C5165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C5E7166"/>
    <w:multiLevelType w:val="hybridMultilevel"/>
    <w:tmpl w:val="2A30C7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14720612">
    <w:abstractNumId w:val="7"/>
  </w:num>
  <w:num w:numId="2" w16cid:durableId="479469789">
    <w:abstractNumId w:val="6"/>
  </w:num>
  <w:num w:numId="3" w16cid:durableId="2098361191">
    <w:abstractNumId w:val="5"/>
  </w:num>
  <w:num w:numId="4" w16cid:durableId="623120759">
    <w:abstractNumId w:val="3"/>
  </w:num>
  <w:num w:numId="5" w16cid:durableId="730153547">
    <w:abstractNumId w:val="0"/>
  </w:num>
  <w:num w:numId="6" w16cid:durableId="239412029">
    <w:abstractNumId w:val="2"/>
  </w:num>
  <w:num w:numId="7" w16cid:durableId="1616718950">
    <w:abstractNumId w:val="8"/>
  </w:num>
  <w:num w:numId="8" w16cid:durableId="1269701917">
    <w:abstractNumId w:val="1"/>
  </w:num>
  <w:num w:numId="9" w16cid:durableId="16352547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374"/>
    <w:rsid w:val="00057969"/>
    <w:rsid w:val="0006267A"/>
    <w:rsid w:val="0007633A"/>
    <w:rsid w:val="000E4588"/>
    <w:rsid w:val="002068AC"/>
    <w:rsid w:val="00212FCF"/>
    <w:rsid w:val="00250AAE"/>
    <w:rsid w:val="002926F4"/>
    <w:rsid w:val="002F0E53"/>
    <w:rsid w:val="002F6248"/>
    <w:rsid w:val="00307A11"/>
    <w:rsid w:val="00310CDF"/>
    <w:rsid w:val="00315447"/>
    <w:rsid w:val="003B5BAC"/>
    <w:rsid w:val="003C493E"/>
    <w:rsid w:val="003E546A"/>
    <w:rsid w:val="00406E24"/>
    <w:rsid w:val="00424B56"/>
    <w:rsid w:val="00447D66"/>
    <w:rsid w:val="00490157"/>
    <w:rsid w:val="004B3A1E"/>
    <w:rsid w:val="0053016B"/>
    <w:rsid w:val="005528EA"/>
    <w:rsid w:val="00580632"/>
    <w:rsid w:val="00593AB0"/>
    <w:rsid w:val="005B42C9"/>
    <w:rsid w:val="00750C6E"/>
    <w:rsid w:val="00751600"/>
    <w:rsid w:val="00771DB2"/>
    <w:rsid w:val="007D0374"/>
    <w:rsid w:val="00873313"/>
    <w:rsid w:val="008F246A"/>
    <w:rsid w:val="00955A45"/>
    <w:rsid w:val="0096259F"/>
    <w:rsid w:val="009A6F2F"/>
    <w:rsid w:val="00A40CBF"/>
    <w:rsid w:val="00A83DDE"/>
    <w:rsid w:val="00AE72E5"/>
    <w:rsid w:val="00AF59F5"/>
    <w:rsid w:val="00B81797"/>
    <w:rsid w:val="00BB2367"/>
    <w:rsid w:val="00BD4591"/>
    <w:rsid w:val="00BF0F81"/>
    <w:rsid w:val="00C24F00"/>
    <w:rsid w:val="00C85B4A"/>
    <w:rsid w:val="00C90799"/>
    <w:rsid w:val="00CC65DA"/>
    <w:rsid w:val="00D328A4"/>
    <w:rsid w:val="00DD4310"/>
    <w:rsid w:val="00DD4500"/>
    <w:rsid w:val="00E009B3"/>
    <w:rsid w:val="00EB574F"/>
    <w:rsid w:val="00F5713E"/>
    <w:rsid w:val="00F73A5A"/>
    <w:rsid w:val="00F80EEE"/>
    <w:rsid w:val="00FD0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C385C"/>
  <w15:docId w15:val="{F69B88AA-5003-4A8B-9349-CBF8D6CC2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C5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rsid w:val="009B1C59"/>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apple-converted-space">
    <w:name w:val="apple-converted-space"/>
    <w:basedOn w:val="DefaultParagraphFont"/>
    <w:rsid w:val="009B1C59"/>
  </w:style>
  <w:style w:type="character" w:customStyle="1" w:styleId="TitleChar">
    <w:name w:val="Title Char"/>
    <w:link w:val="Title"/>
    <w:rsid w:val="009B1C59"/>
    <w:rPr>
      <w:rFonts w:ascii="Cambria" w:eastAsia="Times New Roman" w:hAnsi="Cambria"/>
      <w:color w:val="17365D"/>
      <w:spacing w:val="5"/>
      <w:kern w:val="28"/>
      <w:sz w:val="52"/>
      <w:szCs w:val="52"/>
    </w:rPr>
  </w:style>
  <w:style w:type="paragraph" w:styleId="ListParagraph">
    <w:name w:val="List Paragraph"/>
    <w:basedOn w:val="Normal"/>
    <w:uiPriority w:val="34"/>
    <w:qFormat/>
    <w:rsid w:val="009B1C59"/>
    <w:pPr>
      <w:ind w:left="720"/>
      <w:contextualSpacing/>
    </w:pPr>
  </w:style>
  <w:style w:type="paragraph" w:styleId="Footer">
    <w:name w:val="footer"/>
    <w:basedOn w:val="Normal"/>
    <w:link w:val="FooterChar"/>
    <w:uiPriority w:val="99"/>
    <w:unhideWhenUsed/>
    <w:rsid w:val="009B1C59"/>
    <w:pPr>
      <w:tabs>
        <w:tab w:val="center" w:pos="4680"/>
        <w:tab w:val="right" w:pos="9360"/>
      </w:tabs>
    </w:pPr>
    <w:rPr>
      <w:sz w:val="20"/>
      <w:szCs w:val="20"/>
      <w:lang w:val="x-none" w:eastAsia="x-none"/>
    </w:rPr>
  </w:style>
  <w:style w:type="character" w:customStyle="1" w:styleId="FooterChar">
    <w:name w:val="Footer Char"/>
    <w:link w:val="Footer"/>
    <w:uiPriority w:val="99"/>
    <w:rsid w:val="009B1C59"/>
    <w:rPr>
      <w:rFonts w:eastAsia="Times New Roman"/>
    </w:rPr>
  </w:style>
  <w:style w:type="character" w:customStyle="1" w:styleId="jrnl">
    <w:name w:val="jrnl"/>
    <w:basedOn w:val="DefaultParagraphFont"/>
    <w:rsid w:val="00686F72"/>
  </w:style>
  <w:style w:type="character" w:styleId="Hyperlink">
    <w:name w:val="Hyperlink"/>
    <w:uiPriority w:val="99"/>
    <w:unhideWhenUsed/>
    <w:rsid w:val="00686F72"/>
    <w:rPr>
      <w:color w:val="0000FF"/>
      <w:u w:val="single"/>
    </w:rPr>
  </w:style>
  <w:style w:type="character" w:customStyle="1" w:styleId="tgc">
    <w:name w:val="_tgc"/>
    <w:basedOn w:val="DefaultParagraphFont"/>
    <w:rsid w:val="00A23E48"/>
  </w:style>
  <w:style w:type="character" w:customStyle="1" w:styleId="highlight">
    <w:name w:val="highlight"/>
    <w:basedOn w:val="DefaultParagraphFont"/>
    <w:rsid w:val="005C0F2B"/>
  </w:style>
  <w:style w:type="paragraph" w:styleId="Header">
    <w:name w:val="header"/>
    <w:basedOn w:val="Normal"/>
    <w:link w:val="HeaderChar"/>
    <w:uiPriority w:val="99"/>
    <w:unhideWhenUsed/>
    <w:rsid w:val="00083116"/>
    <w:pPr>
      <w:tabs>
        <w:tab w:val="center" w:pos="4680"/>
        <w:tab w:val="right" w:pos="9360"/>
      </w:tabs>
    </w:pPr>
    <w:rPr>
      <w:lang w:val="x-none" w:eastAsia="x-none"/>
    </w:rPr>
  </w:style>
  <w:style w:type="character" w:customStyle="1" w:styleId="HeaderChar">
    <w:name w:val="Header Char"/>
    <w:link w:val="Header"/>
    <w:uiPriority w:val="99"/>
    <w:rsid w:val="00083116"/>
    <w:rPr>
      <w:rFonts w:eastAsia="Times New Roman"/>
      <w:sz w:val="24"/>
      <w:szCs w:val="24"/>
    </w:rPr>
  </w:style>
  <w:style w:type="paragraph" w:styleId="BalloonText">
    <w:name w:val="Balloon Text"/>
    <w:basedOn w:val="Normal"/>
    <w:link w:val="BalloonTextChar"/>
    <w:uiPriority w:val="99"/>
    <w:semiHidden/>
    <w:unhideWhenUsed/>
    <w:rsid w:val="007C3BC0"/>
    <w:rPr>
      <w:sz w:val="18"/>
      <w:szCs w:val="18"/>
      <w:lang w:val="x-none" w:eastAsia="x-none"/>
    </w:rPr>
  </w:style>
  <w:style w:type="character" w:customStyle="1" w:styleId="BalloonTextChar">
    <w:name w:val="Balloon Text Char"/>
    <w:link w:val="BalloonText"/>
    <w:uiPriority w:val="99"/>
    <w:semiHidden/>
    <w:rsid w:val="007C3BC0"/>
    <w:rPr>
      <w:rFonts w:eastAsia="Times New Roman"/>
      <w:sz w:val="18"/>
      <w:szCs w:val="18"/>
    </w:rPr>
  </w:style>
  <w:style w:type="character" w:styleId="CommentReference">
    <w:name w:val="annotation reference"/>
    <w:uiPriority w:val="99"/>
    <w:semiHidden/>
    <w:unhideWhenUsed/>
    <w:rsid w:val="007C3BC0"/>
    <w:rPr>
      <w:sz w:val="16"/>
      <w:szCs w:val="16"/>
    </w:rPr>
  </w:style>
  <w:style w:type="paragraph" w:styleId="CommentText">
    <w:name w:val="annotation text"/>
    <w:basedOn w:val="Normal"/>
    <w:link w:val="CommentTextChar"/>
    <w:uiPriority w:val="99"/>
    <w:semiHidden/>
    <w:unhideWhenUsed/>
    <w:rsid w:val="007C3BC0"/>
    <w:rPr>
      <w:sz w:val="20"/>
      <w:szCs w:val="20"/>
      <w:lang w:val="x-none" w:eastAsia="x-none"/>
    </w:rPr>
  </w:style>
  <w:style w:type="character" w:customStyle="1" w:styleId="CommentTextChar">
    <w:name w:val="Comment Text Char"/>
    <w:link w:val="CommentText"/>
    <w:uiPriority w:val="99"/>
    <w:semiHidden/>
    <w:rsid w:val="007C3BC0"/>
    <w:rPr>
      <w:rFonts w:eastAsia="Times New Roman"/>
    </w:rPr>
  </w:style>
  <w:style w:type="paragraph" w:styleId="CommentSubject">
    <w:name w:val="annotation subject"/>
    <w:basedOn w:val="CommentText"/>
    <w:next w:val="CommentText"/>
    <w:link w:val="CommentSubjectChar"/>
    <w:uiPriority w:val="99"/>
    <w:semiHidden/>
    <w:unhideWhenUsed/>
    <w:rsid w:val="007C3BC0"/>
    <w:rPr>
      <w:b/>
      <w:bCs/>
    </w:rPr>
  </w:style>
  <w:style w:type="character" w:customStyle="1" w:styleId="CommentSubjectChar">
    <w:name w:val="Comment Subject Char"/>
    <w:link w:val="CommentSubject"/>
    <w:uiPriority w:val="99"/>
    <w:semiHidden/>
    <w:rsid w:val="007C3BC0"/>
    <w:rPr>
      <w:rFonts w:eastAsia="Times New Roman"/>
      <w:b/>
      <w:bCs/>
    </w:rPr>
  </w:style>
  <w:style w:type="character" w:styleId="FollowedHyperlink">
    <w:name w:val="FollowedHyperlink"/>
    <w:uiPriority w:val="99"/>
    <w:semiHidden/>
    <w:unhideWhenUsed/>
    <w:rsid w:val="000C4568"/>
    <w:rPr>
      <w:color w:val="800080"/>
      <w:u w:val="single"/>
    </w:rPr>
  </w:style>
  <w:style w:type="paragraph" w:customStyle="1" w:styleId="Default">
    <w:name w:val="Default"/>
    <w:rsid w:val="00FC0C05"/>
    <w:pPr>
      <w:autoSpaceDE w:val="0"/>
      <w:autoSpaceDN w:val="0"/>
      <w:adjustRightInd w:val="0"/>
    </w:pPr>
    <w:rPr>
      <w:color w:val="000000"/>
    </w:rPr>
  </w:style>
  <w:style w:type="character" w:customStyle="1" w:styleId="A6">
    <w:name w:val="A6"/>
    <w:uiPriority w:val="99"/>
    <w:rsid w:val="00FC0C05"/>
    <w:rPr>
      <w:b/>
      <w:bCs/>
      <w:color w:val="000000"/>
      <w:sz w:val="14"/>
      <w:szCs w:val="14"/>
    </w:rPr>
  </w:style>
  <w:style w:type="character" w:customStyle="1" w:styleId="A7">
    <w:name w:val="A7"/>
    <w:uiPriority w:val="99"/>
    <w:rsid w:val="00FC0C05"/>
    <w:rPr>
      <w:b/>
      <w:bCs/>
      <w:color w:val="000000"/>
      <w:sz w:val="10"/>
      <w:szCs w:val="10"/>
    </w:rPr>
  </w:style>
  <w:style w:type="paragraph" w:customStyle="1" w:styleId="Normal1">
    <w:name w:val="Normal1"/>
    <w:rsid w:val="002C02F3"/>
  </w:style>
  <w:style w:type="paragraph" w:customStyle="1" w:styleId="EndNoteBibliography">
    <w:name w:val="EndNote Bibliography"/>
    <w:basedOn w:val="Normal"/>
    <w:link w:val="EndNoteBibliographyChar"/>
    <w:rsid w:val="005D3F97"/>
    <w:rPr>
      <w:noProof/>
      <w:lang w:val="x-none" w:eastAsia="x-none"/>
    </w:rPr>
  </w:style>
  <w:style w:type="character" w:customStyle="1" w:styleId="EndNoteBibliographyChar">
    <w:name w:val="EndNote Bibliography Char"/>
    <w:link w:val="EndNoteBibliography"/>
    <w:rsid w:val="005D3F97"/>
    <w:rPr>
      <w:rFonts w:eastAsia="Times New Roman"/>
      <w:noProof/>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447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98957">
      <w:bodyDiv w:val="1"/>
      <w:marLeft w:val="0"/>
      <w:marRight w:val="0"/>
      <w:marTop w:val="0"/>
      <w:marBottom w:val="0"/>
      <w:divBdr>
        <w:top w:val="none" w:sz="0" w:space="0" w:color="auto"/>
        <w:left w:val="none" w:sz="0" w:space="0" w:color="auto"/>
        <w:bottom w:val="none" w:sz="0" w:space="0" w:color="auto"/>
        <w:right w:val="none" w:sz="0" w:space="0" w:color="auto"/>
      </w:divBdr>
    </w:div>
    <w:div w:id="100880067">
      <w:bodyDiv w:val="1"/>
      <w:marLeft w:val="0"/>
      <w:marRight w:val="0"/>
      <w:marTop w:val="0"/>
      <w:marBottom w:val="0"/>
      <w:divBdr>
        <w:top w:val="none" w:sz="0" w:space="0" w:color="auto"/>
        <w:left w:val="none" w:sz="0" w:space="0" w:color="auto"/>
        <w:bottom w:val="none" w:sz="0" w:space="0" w:color="auto"/>
        <w:right w:val="none" w:sz="0" w:space="0" w:color="auto"/>
      </w:divBdr>
    </w:div>
    <w:div w:id="129834874">
      <w:bodyDiv w:val="1"/>
      <w:marLeft w:val="0"/>
      <w:marRight w:val="0"/>
      <w:marTop w:val="0"/>
      <w:marBottom w:val="0"/>
      <w:divBdr>
        <w:top w:val="none" w:sz="0" w:space="0" w:color="auto"/>
        <w:left w:val="none" w:sz="0" w:space="0" w:color="auto"/>
        <w:bottom w:val="none" w:sz="0" w:space="0" w:color="auto"/>
        <w:right w:val="none" w:sz="0" w:space="0" w:color="auto"/>
      </w:divBdr>
    </w:div>
    <w:div w:id="166135214">
      <w:bodyDiv w:val="1"/>
      <w:marLeft w:val="0"/>
      <w:marRight w:val="0"/>
      <w:marTop w:val="0"/>
      <w:marBottom w:val="0"/>
      <w:divBdr>
        <w:top w:val="none" w:sz="0" w:space="0" w:color="auto"/>
        <w:left w:val="none" w:sz="0" w:space="0" w:color="auto"/>
        <w:bottom w:val="none" w:sz="0" w:space="0" w:color="auto"/>
        <w:right w:val="none" w:sz="0" w:space="0" w:color="auto"/>
      </w:divBdr>
    </w:div>
    <w:div w:id="245843534">
      <w:bodyDiv w:val="1"/>
      <w:marLeft w:val="0"/>
      <w:marRight w:val="0"/>
      <w:marTop w:val="0"/>
      <w:marBottom w:val="0"/>
      <w:divBdr>
        <w:top w:val="none" w:sz="0" w:space="0" w:color="auto"/>
        <w:left w:val="none" w:sz="0" w:space="0" w:color="auto"/>
        <w:bottom w:val="none" w:sz="0" w:space="0" w:color="auto"/>
        <w:right w:val="none" w:sz="0" w:space="0" w:color="auto"/>
      </w:divBdr>
    </w:div>
    <w:div w:id="305209555">
      <w:bodyDiv w:val="1"/>
      <w:marLeft w:val="0"/>
      <w:marRight w:val="0"/>
      <w:marTop w:val="0"/>
      <w:marBottom w:val="0"/>
      <w:divBdr>
        <w:top w:val="none" w:sz="0" w:space="0" w:color="auto"/>
        <w:left w:val="none" w:sz="0" w:space="0" w:color="auto"/>
        <w:bottom w:val="none" w:sz="0" w:space="0" w:color="auto"/>
        <w:right w:val="none" w:sz="0" w:space="0" w:color="auto"/>
      </w:divBdr>
    </w:div>
    <w:div w:id="320037144">
      <w:bodyDiv w:val="1"/>
      <w:marLeft w:val="0"/>
      <w:marRight w:val="0"/>
      <w:marTop w:val="0"/>
      <w:marBottom w:val="0"/>
      <w:divBdr>
        <w:top w:val="none" w:sz="0" w:space="0" w:color="auto"/>
        <w:left w:val="none" w:sz="0" w:space="0" w:color="auto"/>
        <w:bottom w:val="none" w:sz="0" w:space="0" w:color="auto"/>
        <w:right w:val="none" w:sz="0" w:space="0" w:color="auto"/>
      </w:divBdr>
    </w:div>
    <w:div w:id="342975377">
      <w:bodyDiv w:val="1"/>
      <w:marLeft w:val="0"/>
      <w:marRight w:val="0"/>
      <w:marTop w:val="0"/>
      <w:marBottom w:val="0"/>
      <w:divBdr>
        <w:top w:val="none" w:sz="0" w:space="0" w:color="auto"/>
        <w:left w:val="none" w:sz="0" w:space="0" w:color="auto"/>
        <w:bottom w:val="none" w:sz="0" w:space="0" w:color="auto"/>
        <w:right w:val="none" w:sz="0" w:space="0" w:color="auto"/>
      </w:divBdr>
    </w:div>
    <w:div w:id="380791039">
      <w:bodyDiv w:val="1"/>
      <w:marLeft w:val="0"/>
      <w:marRight w:val="0"/>
      <w:marTop w:val="0"/>
      <w:marBottom w:val="0"/>
      <w:divBdr>
        <w:top w:val="none" w:sz="0" w:space="0" w:color="auto"/>
        <w:left w:val="none" w:sz="0" w:space="0" w:color="auto"/>
        <w:bottom w:val="none" w:sz="0" w:space="0" w:color="auto"/>
        <w:right w:val="none" w:sz="0" w:space="0" w:color="auto"/>
      </w:divBdr>
    </w:div>
    <w:div w:id="485782629">
      <w:bodyDiv w:val="1"/>
      <w:marLeft w:val="0"/>
      <w:marRight w:val="0"/>
      <w:marTop w:val="0"/>
      <w:marBottom w:val="0"/>
      <w:divBdr>
        <w:top w:val="none" w:sz="0" w:space="0" w:color="auto"/>
        <w:left w:val="none" w:sz="0" w:space="0" w:color="auto"/>
        <w:bottom w:val="none" w:sz="0" w:space="0" w:color="auto"/>
        <w:right w:val="none" w:sz="0" w:space="0" w:color="auto"/>
      </w:divBdr>
    </w:div>
    <w:div w:id="499396119">
      <w:bodyDiv w:val="1"/>
      <w:marLeft w:val="0"/>
      <w:marRight w:val="0"/>
      <w:marTop w:val="0"/>
      <w:marBottom w:val="0"/>
      <w:divBdr>
        <w:top w:val="none" w:sz="0" w:space="0" w:color="auto"/>
        <w:left w:val="none" w:sz="0" w:space="0" w:color="auto"/>
        <w:bottom w:val="none" w:sz="0" w:space="0" w:color="auto"/>
        <w:right w:val="none" w:sz="0" w:space="0" w:color="auto"/>
      </w:divBdr>
    </w:div>
    <w:div w:id="592511457">
      <w:bodyDiv w:val="1"/>
      <w:marLeft w:val="0"/>
      <w:marRight w:val="0"/>
      <w:marTop w:val="0"/>
      <w:marBottom w:val="0"/>
      <w:divBdr>
        <w:top w:val="none" w:sz="0" w:space="0" w:color="auto"/>
        <w:left w:val="none" w:sz="0" w:space="0" w:color="auto"/>
        <w:bottom w:val="none" w:sz="0" w:space="0" w:color="auto"/>
        <w:right w:val="none" w:sz="0" w:space="0" w:color="auto"/>
      </w:divBdr>
    </w:div>
    <w:div w:id="606082684">
      <w:bodyDiv w:val="1"/>
      <w:marLeft w:val="0"/>
      <w:marRight w:val="0"/>
      <w:marTop w:val="0"/>
      <w:marBottom w:val="0"/>
      <w:divBdr>
        <w:top w:val="none" w:sz="0" w:space="0" w:color="auto"/>
        <w:left w:val="none" w:sz="0" w:space="0" w:color="auto"/>
        <w:bottom w:val="none" w:sz="0" w:space="0" w:color="auto"/>
        <w:right w:val="none" w:sz="0" w:space="0" w:color="auto"/>
      </w:divBdr>
    </w:div>
    <w:div w:id="674460367">
      <w:bodyDiv w:val="1"/>
      <w:marLeft w:val="0"/>
      <w:marRight w:val="0"/>
      <w:marTop w:val="0"/>
      <w:marBottom w:val="0"/>
      <w:divBdr>
        <w:top w:val="none" w:sz="0" w:space="0" w:color="auto"/>
        <w:left w:val="none" w:sz="0" w:space="0" w:color="auto"/>
        <w:bottom w:val="none" w:sz="0" w:space="0" w:color="auto"/>
        <w:right w:val="none" w:sz="0" w:space="0" w:color="auto"/>
      </w:divBdr>
    </w:div>
    <w:div w:id="820193862">
      <w:bodyDiv w:val="1"/>
      <w:marLeft w:val="0"/>
      <w:marRight w:val="0"/>
      <w:marTop w:val="0"/>
      <w:marBottom w:val="0"/>
      <w:divBdr>
        <w:top w:val="none" w:sz="0" w:space="0" w:color="auto"/>
        <w:left w:val="none" w:sz="0" w:space="0" w:color="auto"/>
        <w:bottom w:val="none" w:sz="0" w:space="0" w:color="auto"/>
        <w:right w:val="none" w:sz="0" w:space="0" w:color="auto"/>
      </w:divBdr>
    </w:div>
    <w:div w:id="889533690">
      <w:bodyDiv w:val="1"/>
      <w:marLeft w:val="0"/>
      <w:marRight w:val="0"/>
      <w:marTop w:val="0"/>
      <w:marBottom w:val="0"/>
      <w:divBdr>
        <w:top w:val="none" w:sz="0" w:space="0" w:color="auto"/>
        <w:left w:val="none" w:sz="0" w:space="0" w:color="auto"/>
        <w:bottom w:val="none" w:sz="0" w:space="0" w:color="auto"/>
        <w:right w:val="none" w:sz="0" w:space="0" w:color="auto"/>
      </w:divBdr>
    </w:div>
    <w:div w:id="889651226">
      <w:bodyDiv w:val="1"/>
      <w:marLeft w:val="0"/>
      <w:marRight w:val="0"/>
      <w:marTop w:val="0"/>
      <w:marBottom w:val="0"/>
      <w:divBdr>
        <w:top w:val="none" w:sz="0" w:space="0" w:color="auto"/>
        <w:left w:val="none" w:sz="0" w:space="0" w:color="auto"/>
        <w:bottom w:val="none" w:sz="0" w:space="0" w:color="auto"/>
        <w:right w:val="none" w:sz="0" w:space="0" w:color="auto"/>
      </w:divBdr>
    </w:div>
    <w:div w:id="1017198111">
      <w:bodyDiv w:val="1"/>
      <w:marLeft w:val="0"/>
      <w:marRight w:val="0"/>
      <w:marTop w:val="0"/>
      <w:marBottom w:val="0"/>
      <w:divBdr>
        <w:top w:val="none" w:sz="0" w:space="0" w:color="auto"/>
        <w:left w:val="none" w:sz="0" w:space="0" w:color="auto"/>
        <w:bottom w:val="none" w:sz="0" w:space="0" w:color="auto"/>
        <w:right w:val="none" w:sz="0" w:space="0" w:color="auto"/>
      </w:divBdr>
    </w:div>
    <w:div w:id="1171525984">
      <w:bodyDiv w:val="1"/>
      <w:marLeft w:val="0"/>
      <w:marRight w:val="0"/>
      <w:marTop w:val="0"/>
      <w:marBottom w:val="0"/>
      <w:divBdr>
        <w:top w:val="none" w:sz="0" w:space="0" w:color="auto"/>
        <w:left w:val="none" w:sz="0" w:space="0" w:color="auto"/>
        <w:bottom w:val="none" w:sz="0" w:space="0" w:color="auto"/>
        <w:right w:val="none" w:sz="0" w:space="0" w:color="auto"/>
      </w:divBdr>
    </w:div>
    <w:div w:id="1196969848">
      <w:bodyDiv w:val="1"/>
      <w:marLeft w:val="0"/>
      <w:marRight w:val="0"/>
      <w:marTop w:val="0"/>
      <w:marBottom w:val="0"/>
      <w:divBdr>
        <w:top w:val="none" w:sz="0" w:space="0" w:color="auto"/>
        <w:left w:val="none" w:sz="0" w:space="0" w:color="auto"/>
        <w:bottom w:val="none" w:sz="0" w:space="0" w:color="auto"/>
        <w:right w:val="none" w:sz="0" w:space="0" w:color="auto"/>
      </w:divBdr>
    </w:div>
    <w:div w:id="1233858154">
      <w:bodyDiv w:val="1"/>
      <w:marLeft w:val="0"/>
      <w:marRight w:val="0"/>
      <w:marTop w:val="0"/>
      <w:marBottom w:val="0"/>
      <w:divBdr>
        <w:top w:val="none" w:sz="0" w:space="0" w:color="auto"/>
        <w:left w:val="none" w:sz="0" w:space="0" w:color="auto"/>
        <w:bottom w:val="none" w:sz="0" w:space="0" w:color="auto"/>
        <w:right w:val="none" w:sz="0" w:space="0" w:color="auto"/>
      </w:divBdr>
    </w:div>
    <w:div w:id="1329552216">
      <w:bodyDiv w:val="1"/>
      <w:marLeft w:val="0"/>
      <w:marRight w:val="0"/>
      <w:marTop w:val="0"/>
      <w:marBottom w:val="0"/>
      <w:divBdr>
        <w:top w:val="none" w:sz="0" w:space="0" w:color="auto"/>
        <w:left w:val="none" w:sz="0" w:space="0" w:color="auto"/>
        <w:bottom w:val="none" w:sz="0" w:space="0" w:color="auto"/>
        <w:right w:val="none" w:sz="0" w:space="0" w:color="auto"/>
      </w:divBdr>
    </w:div>
    <w:div w:id="1331642083">
      <w:bodyDiv w:val="1"/>
      <w:marLeft w:val="0"/>
      <w:marRight w:val="0"/>
      <w:marTop w:val="0"/>
      <w:marBottom w:val="0"/>
      <w:divBdr>
        <w:top w:val="none" w:sz="0" w:space="0" w:color="auto"/>
        <w:left w:val="none" w:sz="0" w:space="0" w:color="auto"/>
        <w:bottom w:val="none" w:sz="0" w:space="0" w:color="auto"/>
        <w:right w:val="none" w:sz="0" w:space="0" w:color="auto"/>
      </w:divBdr>
    </w:div>
    <w:div w:id="1369263387">
      <w:bodyDiv w:val="1"/>
      <w:marLeft w:val="0"/>
      <w:marRight w:val="0"/>
      <w:marTop w:val="0"/>
      <w:marBottom w:val="0"/>
      <w:divBdr>
        <w:top w:val="none" w:sz="0" w:space="0" w:color="auto"/>
        <w:left w:val="none" w:sz="0" w:space="0" w:color="auto"/>
        <w:bottom w:val="none" w:sz="0" w:space="0" w:color="auto"/>
        <w:right w:val="none" w:sz="0" w:space="0" w:color="auto"/>
      </w:divBdr>
    </w:div>
    <w:div w:id="1428501997">
      <w:bodyDiv w:val="1"/>
      <w:marLeft w:val="0"/>
      <w:marRight w:val="0"/>
      <w:marTop w:val="0"/>
      <w:marBottom w:val="0"/>
      <w:divBdr>
        <w:top w:val="none" w:sz="0" w:space="0" w:color="auto"/>
        <w:left w:val="none" w:sz="0" w:space="0" w:color="auto"/>
        <w:bottom w:val="none" w:sz="0" w:space="0" w:color="auto"/>
        <w:right w:val="none" w:sz="0" w:space="0" w:color="auto"/>
      </w:divBdr>
    </w:div>
    <w:div w:id="1483427942">
      <w:bodyDiv w:val="1"/>
      <w:marLeft w:val="0"/>
      <w:marRight w:val="0"/>
      <w:marTop w:val="0"/>
      <w:marBottom w:val="0"/>
      <w:divBdr>
        <w:top w:val="none" w:sz="0" w:space="0" w:color="auto"/>
        <w:left w:val="none" w:sz="0" w:space="0" w:color="auto"/>
        <w:bottom w:val="none" w:sz="0" w:space="0" w:color="auto"/>
        <w:right w:val="none" w:sz="0" w:space="0" w:color="auto"/>
      </w:divBdr>
    </w:div>
    <w:div w:id="1590849771">
      <w:bodyDiv w:val="1"/>
      <w:marLeft w:val="0"/>
      <w:marRight w:val="0"/>
      <w:marTop w:val="0"/>
      <w:marBottom w:val="0"/>
      <w:divBdr>
        <w:top w:val="none" w:sz="0" w:space="0" w:color="auto"/>
        <w:left w:val="none" w:sz="0" w:space="0" w:color="auto"/>
        <w:bottom w:val="none" w:sz="0" w:space="0" w:color="auto"/>
        <w:right w:val="none" w:sz="0" w:space="0" w:color="auto"/>
      </w:divBdr>
    </w:div>
    <w:div w:id="1656493612">
      <w:bodyDiv w:val="1"/>
      <w:marLeft w:val="0"/>
      <w:marRight w:val="0"/>
      <w:marTop w:val="0"/>
      <w:marBottom w:val="0"/>
      <w:divBdr>
        <w:top w:val="none" w:sz="0" w:space="0" w:color="auto"/>
        <w:left w:val="none" w:sz="0" w:space="0" w:color="auto"/>
        <w:bottom w:val="none" w:sz="0" w:space="0" w:color="auto"/>
        <w:right w:val="none" w:sz="0" w:space="0" w:color="auto"/>
      </w:divBdr>
    </w:div>
    <w:div w:id="1727216082">
      <w:bodyDiv w:val="1"/>
      <w:marLeft w:val="0"/>
      <w:marRight w:val="0"/>
      <w:marTop w:val="0"/>
      <w:marBottom w:val="0"/>
      <w:divBdr>
        <w:top w:val="none" w:sz="0" w:space="0" w:color="auto"/>
        <w:left w:val="none" w:sz="0" w:space="0" w:color="auto"/>
        <w:bottom w:val="none" w:sz="0" w:space="0" w:color="auto"/>
        <w:right w:val="none" w:sz="0" w:space="0" w:color="auto"/>
      </w:divBdr>
    </w:div>
    <w:div w:id="1773891668">
      <w:bodyDiv w:val="1"/>
      <w:marLeft w:val="0"/>
      <w:marRight w:val="0"/>
      <w:marTop w:val="0"/>
      <w:marBottom w:val="0"/>
      <w:divBdr>
        <w:top w:val="none" w:sz="0" w:space="0" w:color="auto"/>
        <w:left w:val="none" w:sz="0" w:space="0" w:color="auto"/>
        <w:bottom w:val="none" w:sz="0" w:space="0" w:color="auto"/>
        <w:right w:val="none" w:sz="0" w:space="0" w:color="auto"/>
      </w:divBdr>
    </w:div>
    <w:div w:id="2066441597">
      <w:bodyDiv w:val="1"/>
      <w:marLeft w:val="0"/>
      <w:marRight w:val="0"/>
      <w:marTop w:val="0"/>
      <w:marBottom w:val="0"/>
      <w:divBdr>
        <w:top w:val="none" w:sz="0" w:space="0" w:color="auto"/>
        <w:left w:val="none" w:sz="0" w:space="0" w:color="auto"/>
        <w:bottom w:val="none" w:sz="0" w:space="0" w:color="auto"/>
        <w:right w:val="none" w:sz="0" w:space="0" w:color="auto"/>
      </w:divBdr>
    </w:div>
    <w:div w:id="2101097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ocatelambda.org/" TargetMode="External"/><Relationship Id="rId13" Type="http://schemas.openxmlformats.org/officeDocument/2006/relationships/hyperlink" Target="https://www.aafs.org/search/standards%20" TargetMode="External"/><Relationship Id="rId18" Type="http://schemas.openxmlformats.org/officeDocument/2006/relationships/hyperlink" Target="https://www.aafs.org/search/standards%20" TargetMode="External"/><Relationship Id="rId26" Type="http://schemas.openxmlformats.org/officeDocument/2006/relationships/hyperlink" Target="https://www.nist.gov/osac/subcommittees/forensic-anthropology%20" TargetMode="External"/><Relationship Id="rId39" Type="http://schemas.openxmlformats.org/officeDocument/2006/relationships/hyperlink" Target="https://www.aafs.org/sites/default/files/media/documents/MASTER%20BYLAWS_3.6.24.pdf%20%20" TargetMode="External"/><Relationship Id="rId3" Type="http://schemas.openxmlformats.org/officeDocument/2006/relationships/styles" Target="styles.xml"/><Relationship Id="rId21" Type="http://schemas.openxmlformats.org/officeDocument/2006/relationships/hyperlink" Target="https://www.aafs.org/search/standards%20" TargetMode="External"/><Relationship Id="rId34" Type="http://schemas.openxmlformats.org/officeDocument/2006/relationships/hyperlink" Target="https://www.law.cornell.edu/rules/fre/rule_705%20%20" TargetMode="External"/><Relationship Id="rId42" Type="http://schemas.openxmlformats.org/officeDocument/2006/relationships/hyperlink" Target="https://www.nist.gov/osac/subcommittees/forensic-anthropology%20" TargetMode="External"/><Relationship Id="rId7" Type="http://schemas.openxmlformats.org/officeDocument/2006/relationships/endnotes" Target="endnotes.xml"/><Relationship Id="rId12" Type="http://schemas.openxmlformats.org/officeDocument/2006/relationships/hyperlink" Target="https://www.aafs.org/search/standards%20" TargetMode="External"/><Relationship Id="rId17" Type="http://schemas.openxmlformats.org/officeDocument/2006/relationships/hyperlink" Target="https://www.aafs.org/search/standards%20" TargetMode="External"/><Relationship Id="rId25" Type="http://schemas.openxmlformats.org/officeDocument/2006/relationships/hyperlink" Target="https://www.nist.gov/osac/astm-launch-code" TargetMode="External"/><Relationship Id="rId33" Type="http://schemas.openxmlformats.org/officeDocument/2006/relationships/hyperlink" Target="https://www.law.cornell.edu/rules/fre/rule_703%20%20" TargetMode="External"/><Relationship Id="rId38" Type="http://schemas.openxmlformats.org/officeDocument/2006/relationships/hyperlink" Target="https://scholar.google.com/scholar_case?case=15349793107974146661&amp;q=Melendez-Diaz+v.+Massachusetts&amp;hl=en&amp;as_sdt=2006%20"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afs.org/search/standards%20" TargetMode="External"/><Relationship Id="rId20" Type="http://schemas.openxmlformats.org/officeDocument/2006/relationships/hyperlink" Target="https://www.aafs.org/search/standards%20" TargetMode="External"/><Relationship Id="rId29" Type="http://schemas.openxmlformats.org/officeDocument/2006/relationships/hyperlink" Target="https://scholar.google.com/scholar_case?case=9550433126269674519&amp;hl=en&amp;as_sdt=6,44&amp;as_vis=1%20%20" TargetMode="External"/><Relationship Id="rId41" Type="http://schemas.openxmlformats.org/officeDocument/2006/relationships/hyperlink" Target="https://texreg.sos.state.tx.us/public/readtac$ext.TacPage?sl=R&amp;app=9&amp;p_dir=&amp;p_rloc=&amp;p_tloc=&amp;p_ploc=&amp;pg=1&amp;p_tac=&amp;ti=37&amp;pt=15&amp;ch=651&amp;rl=2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teomics.com/rASUDAS/%5d%20" TargetMode="External"/><Relationship Id="rId24" Type="http://schemas.openxmlformats.org/officeDocument/2006/relationships/hyperlink" Target="https://www.ncbi.nlm.nih.gov/books/NBK551677/" TargetMode="External"/><Relationship Id="rId32" Type="http://schemas.openxmlformats.org/officeDocument/2006/relationships/hyperlink" Target="https://www.law.cornell.edu/rules/fre/rule_702%20%20" TargetMode="External"/><Relationship Id="rId37" Type="http://schemas.openxmlformats.org/officeDocument/2006/relationships/hyperlink" Target="https://supreme.justia.com/cases/federal/us/526/137/case.pdf%20%20" TargetMode="External"/><Relationship Id="rId40" Type="http://schemas.openxmlformats.org/officeDocument/2006/relationships/hyperlink" Target="https://www.theabfa.org/code-of-ethics-and-conduct%20"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afs.org/search/standards%20" TargetMode="External"/><Relationship Id="rId23" Type="http://schemas.openxmlformats.org/officeDocument/2006/relationships/hyperlink" Target="https://www.nist.gov/osac/subcommittees/forensic-anthropology%20" TargetMode="External"/><Relationship Id="rId28" Type="http://schemas.openxmlformats.org/officeDocument/2006/relationships/hyperlink" Target="https://www.nist.gov/osac/registry%20%20" TargetMode="External"/><Relationship Id="rId36" Type="http://schemas.openxmlformats.org/officeDocument/2006/relationships/hyperlink" Target="https://scholar.google.com/scholar_case?case=8141182863837122295%20" TargetMode="External"/><Relationship Id="rId10" Type="http://schemas.openxmlformats.org/officeDocument/2006/relationships/hyperlink" Target="https://www.morphopasse.com/program.html" TargetMode="External"/><Relationship Id="rId19" Type="http://schemas.openxmlformats.org/officeDocument/2006/relationships/hyperlink" Target="https://www.aafs.org/search/standards" TargetMode="External"/><Relationship Id="rId31" Type="http://schemas.openxmlformats.org/officeDocument/2006/relationships/hyperlink" Target="https://supreme.justia.com/cases/federal/us/509/579/case.pdf%20%20%20"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afs.org/search/standards%20" TargetMode="External"/><Relationship Id="rId14" Type="http://schemas.openxmlformats.org/officeDocument/2006/relationships/hyperlink" Target="https://www.aafs.org/search/standards%20" TargetMode="External"/><Relationship Id="rId22" Type="http://schemas.openxmlformats.org/officeDocument/2006/relationships/hyperlink" Target="https://www.aafs.org/search/standards%20" TargetMode="External"/><Relationship Id="rId27" Type="http://schemas.openxmlformats.org/officeDocument/2006/relationships/hyperlink" Target="https://www.aafs.org/search/standards%20" TargetMode="External"/><Relationship Id="rId30" Type="http://schemas.openxmlformats.org/officeDocument/2006/relationships/hyperlink" Target="https://supreme.justia.com/cases/federal/us/564/647/%20" TargetMode="External"/><Relationship Id="rId35" Type="http://schemas.openxmlformats.org/officeDocument/2006/relationships/hyperlink" Target="https://wiki.harvard.edu/confluence/display/GNME/Frye+v.+United+States%20%20"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oRlwe/Kt3aVtgRtzH+xxHj3mSg==">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6698</Words>
  <Characters>38181</Characters>
  <Application>Microsoft Office Word</Application>
  <DocSecurity>0</DocSecurity>
  <Lines>318</Lines>
  <Paragraphs>89</Paragraphs>
  <ScaleCrop>false</ScaleCrop>
  <Company/>
  <LinksUpToDate>false</LinksUpToDate>
  <CharactersWithSpaces>44790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Sara Getz</cp:lastModifiedBy>
  <cp:revision>6</cp:revision>
  <cp:lastPrinted>2025-06-30T00:24:00Z</cp:lastPrinted>
  <dcterms:created xsi:type="dcterms:W3CDTF">2025-06-30T00:22:00Z</dcterms:created>
  <dcterms:modified xsi:type="dcterms:W3CDTF">2025-06-30T00:29:00Z</dcterms:modified>
</cp:coreProperties>
</file>